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81A" w:rsidRPr="002E09EE" w:rsidRDefault="00CC273F">
      <w:pPr>
        <w:pStyle w:val="Body1"/>
        <w:rPr>
          <w:rFonts w:ascii="Arial" w:hAnsi="Arial" w:cs="Arial"/>
          <w:b/>
        </w:rPr>
      </w:pPr>
      <w:r>
        <w:rPr>
          <w:rFonts w:ascii="Arial" w:hAnsi="Arial" w:cs="Arial"/>
          <w:b/>
        </w:rPr>
        <w:t>State Council Report</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1671E3">
        <w:rPr>
          <w:rFonts w:ascii="Arial" w:hAnsi="Arial" w:cs="Arial"/>
          <w:b/>
        </w:rPr>
        <w:tab/>
      </w:r>
      <w:r w:rsidR="001671E3">
        <w:rPr>
          <w:rFonts w:ascii="Arial" w:hAnsi="Arial" w:cs="Arial"/>
          <w:b/>
        </w:rPr>
        <w:tab/>
      </w:r>
      <w:r w:rsidR="00420FDB">
        <w:rPr>
          <w:rFonts w:ascii="Arial" w:hAnsi="Arial" w:cs="Arial"/>
          <w:b/>
        </w:rPr>
        <w:t>January 2014</w:t>
      </w:r>
    </w:p>
    <w:p w:rsidR="007C3404" w:rsidRPr="00CC273F" w:rsidRDefault="00E627BD">
      <w:pPr>
        <w:pStyle w:val="Body1"/>
        <w:rPr>
          <w:rFonts w:ascii="Arial" w:hAnsi="Arial" w:cs="Arial"/>
          <w:b/>
          <w:u w:val="single"/>
        </w:rPr>
      </w:pPr>
      <w:r w:rsidRPr="00E627BD">
        <w:rPr>
          <w:rFonts w:ascii="Arial" w:hAnsi="Arial" w:cs="Arial"/>
          <w:b/>
          <w:u w:val="single"/>
        </w:rPr>
        <w:t>Ove</w:t>
      </w:r>
      <w:r w:rsidR="000322A7">
        <w:rPr>
          <w:rFonts w:ascii="Arial" w:hAnsi="Arial" w:cs="Arial"/>
          <w:b/>
          <w:u w:val="single"/>
        </w:rPr>
        <w:t>r</w:t>
      </w:r>
      <w:r w:rsidRPr="00E627BD">
        <w:rPr>
          <w:rFonts w:ascii="Arial" w:hAnsi="Arial" w:cs="Arial"/>
          <w:b/>
          <w:u w:val="single"/>
        </w:rPr>
        <w:t>view/Things for you to do</w:t>
      </w:r>
    </w:p>
    <w:p w:rsidR="009F4280" w:rsidRPr="00B62803" w:rsidRDefault="009F4280">
      <w:pPr>
        <w:pStyle w:val="Body1"/>
        <w:rPr>
          <w:rFonts w:ascii="Arial" w:hAnsi="Arial" w:cs="Arial"/>
          <w:b/>
        </w:rPr>
      </w:pPr>
      <w:r w:rsidRPr="00B62803">
        <w:rPr>
          <w:rFonts w:ascii="Arial" w:hAnsi="Arial" w:cs="Arial"/>
          <w:b/>
        </w:rPr>
        <w:t>Please:</w:t>
      </w:r>
    </w:p>
    <w:p w:rsidR="00090167" w:rsidRPr="00F35D28" w:rsidRDefault="00B404A8" w:rsidP="00F35D28">
      <w:pPr>
        <w:pStyle w:val="Body1"/>
        <w:numPr>
          <w:ilvl w:val="0"/>
          <w:numId w:val="1"/>
        </w:numPr>
        <w:rPr>
          <w:rFonts w:ascii="Arial" w:hAnsi="Arial" w:cs="Arial"/>
        </w:rPr>
      </w:pPr>
      <w:proofErr w:type="spellStart"/>
      <w:r w:rsidRPr="00B404A8">
        <w:rPr>
          <w:rFonts w:ascii="Arial" w:hAnsi="Arial" w:cs="Arial"/>
        </w:rPr>
        <w:t>Vegara</w:t>
      </w:r>
      <w:proofErr w:type="spellEnd"/>
      <w:r w:rsidRPr="00B404A8">
        <w:rPr>
          <w:rFonts w:ascii="Arial" w:hAnsi="Arial" w:cs="Arial"/>
        </w:rPr>
        <w:t xml:space="preserve"> trial - attacking due process and seniority rights started Monday in Los Angeles.  Updates for the trial can be followed at </w:t>
      </w:r>
      <w:hyperlink r:id="rId5" w:history="1">
        <w:r w:rsidRPr="00F15D28">
          <w:rPr>
            <w:rStyle w:val="Hyperlink"/>
            <w:rFonts w:ascii="Arial" w:hAnsi="Arial" w:cs="Arial"/>
          </w:rPr>
          <w:t>http://www.cta.org/Issues-and-Action/Ongoing-Issues/Vergara-Trial1.aspx</w:t>
        </w:r>
      </w:hyperlink>
      <w:r w:rsidRPr="00B404A8">
        <w:rPr>
          <w:rFonts w:ascii="Arial" w:hAnsi="Arial" w:cs="Arial"/>
        </w:rPr>
        <w:t>.</w:t>
      </w:r>
      <w:r>
        <w:rPr>
          <w:rFonts w:ascii="Arial" w:hAnsi="Arial" w:cs="Arial"/>
        </w:rPr>
        <w:t xml:space="preserve"> </w:t>
      </w:r>
    </w:p>
    <w:p w:rsidR="00B404A8" w:rsidRPr="001919EE" w:rsidRDefault="001919EE" w:rsidP="001919EE">
      <w:pPr>
        <w:pStyle w:val="Body1"/>
        <w:numPr>
          <w:ilvl w:val="0"/>
          <w:numId w:val="1"/>
        </w:numPr>
        <w:rPr>
          <w:rFonts w:ascii="Arial" w:hAnsi="Arial" w:cs="Arial"/>
        </w:rPr>
      </w:pPr>
      <w:r>
        <w:rPr>
          <w:rFonts w:ascii="Arial" w:hAnsi="Arial" w:cs="Arial"/>
        </w:rPr>
        <w:t xml:space="preserve">Members should </w:t>
      </w:r>
      <w:r w:rsidRPr="001919EE">
        <w:rPr>
          <w:rFonts w:ascii="Arial" w:hAnsi="Arial" w:cs="Arial"/>
        </w:rPr>
        <w:t xml:space="preserve">check the Smarter Balanced Assessment web site </w:t>
      </w:r>
      <w:hyperlink r:id="rId6" w:history="1">
        <w:r w:rsidRPr="005020C2">
          <w:rPr>
            <w:rStyle w:val="Hyperlink"/>
            <w:rFonts w:ascii="Arial" w:hAnsi="Arial" w:cs="Arial"/>
          </w:rPr>
          <w:t>http://www.smarterbalanced.org/</w:t>
        </w:r>
      </w:hyperlink>
      <w:r>
        <w:rPr>
          <w:rFonts w:ascii="Arial" w:hAnsi="Arial" w:cs="Arial"/>
        </w:rPr>
        <w:t xml:space="preserve"> </w:t>
      </w:r>
    </w:p>
    <w:p w:rsidR="001919EE" w:rsidRPr="001919EE" w:rsidRDefault="001919EE" w:rsidP="001919EE">
      <w:pPr>
        <w:numPr>
          <w:ilvl w:val="0"/>
          <w:numId w:val="1"/>
        </w:numPr>
        <w:rPr>
          <w:rFonts w:ascii="Arial" w:eastAsia="Arial Unicode MS" w:hAnsi="Arial" w:cs="Arial"/>
          <w:color w:val="000000"/>
          <w:szCs w:val="20"/>
        </w:rPr>
      </w:pPr>
      <w:r w:rsidRPr="001919EE">
        <w:rPr>
          <w:rFonts w:ascii="Arial" w:eastAsia="Arial Unicode MS" w:hAnsi="Arial" w:cs="Arial"/>
          <w:color w:val="000000"/>
          <w:szCs w:val="20"/>
        </w:rPr>
        <w:t xml:space="preserve">Members are encouraged to apply to serve on the Curriculum Framework and Evaluation Criteria Committee at </w:t>
      </w:r>
      <w:hyperlink r:id="rId7" w:history="1">
        <w:r w:rsidRPr="001919EE">
          <w:rPr>
            <w:rStyle w:val="Hyperlink"/>
            <w:rFonts w:ascii="Arial" w:eastAsia="Arial Unicode MS" w:hAnsi="Arial" w:cs="Arial"/>
            <w:szCs w:val="20"/>
          </w:rPr>
          <w:t>http://www.cde.ca.gov/ci/sc/cf/</w:t>
        </w:r>
      </w:hyperlink>
      <w:r w:rsidRPr="001919EE">
        <w:rPr>
          <w:rFonts w:ascii="Arial" w:eastAsia="Arial Unicode MS" w:hAnsi="Arial" w:cs="Arial"/>
          <w:color w:val="000000"/>
          <w:szCs w:val="20"/>
        </w:rPr>
        <w:t xml:space="preserve"> </w:t>
      </w:r>
    </w:p>
    <w:p w:rsidR="00B404A8" w:rsidRPr="00B404A8" w:rsidRDefault="00B404A8" w:rsidP="00B404A8">
      <w:pPr>
        <w:numPr>
          <w:ilvl w:val="0"/>
          <w:numId w:val="1"/>
        </w:numPr>
        <w:rPr>
          <w:rFonts w:ascii="Arial" w:eastAsia="Arial Unicode MS" w:hAnsi="Arial" w:cs="Arial"/>
          <w:color w:val="000000"/>
          <w:szCs w:val="20"/>
        </w:rPr>
      </w:pPr>
      <w:r w:rsidRPr="00B404A8">
        <w:rPr>
          <w:rFonts w:ascii="Arial" w:eastAsia="Arial Unicode MS" w:hAnsi="Arial" w:cs="Arial"/>
          <w:color w:val="000000"/>
          <w:szCs w:val="20"/>
        </w:rPr>
        <w:t>Organizing Academy - is scheduled for April 4th through the 6th.</w:t>
      </w:r>
    </w:p>
    <w:p w:rsidR="00B404A8" w:rsidRPr="00B404A8" w:rsidRDefault="00B404A8" w:rsidP="00B404A8">
      <w:pPr>
        <w:pStyle w:val="Body1"/>
        <w:numPr>
          <w:ilvl w:val="0"/>
          <w:numId w:val="1"/>
        </w:numPr>
        <w:rPr>
          <w:rFonts w:ascii="Arial" w:hAnsi="Arial" w:cs="Arial"/>
        </w:rPr>
      </w:pPr>
      <w:r w:rsidRPr="00B404A8">
        <w:rPr>
          <w:rFonts w:ascii="Arial" w:hAnsi="Arial" w:cs="Arial"/>
        </w:rPr>
        <w:t xml:space="preserve">Read across America - will be starting soon.  For more information on how CTA will be involved, please visit </w:t>
      </w:r>
      <w:hyperlink r:id="rId8" w:history="1">
        <w:r w:rsidRPr="00F15D28">
          <w:rPr>
            <w:rStyle w:val="Hyperlink"/>
            <w:rFonts w:ascii="Arial" w:hAnsi="Arial" w:cs="Arial"/>
          </w:rPr>
          <w:t>http://www.cta.org/en/Parents-and-Community/Read-Across-America/California-Reads.aspx</w:t>
        </w:r>
      </w:hyperlink>
      <w:r>
        <w:rPr>
          <w:rFonts w:ascii="Arial" w:hAnsi="Arial" w:cs="Arial"/>
        </w:rPr>
        <w:t xml:space="preserve"> </w:t>
      </w:r>
    </w:p>
    <w:p w:rsidR="00276E50" w:rsidRPr="00181FF2" w:rsidRDefault="00D71D34" w:rsidP="00D71D34">
      <w:pPr>
        <w:pStyle w:val="Body1"/>
        <w:numPr>
          <w:ilvl w:val="0"/>
          <w:numId w:val="1"/>
        </w:numPr>
        <w:rPr>
          <w:rFonts w:ascii="Arial" w:hAnsi="Arial" w:cs="Arial"/>
        </w:rPr>
      </w:pPr>
      <w:r w:rsidRPr="00D71D34">
        <w:rPr>
          <w:rFonts w:ascii="Arial" w:hAnsi="Arial" w:cs="Arial"/>
        </w:rPr>
        <w:t xml:space="preserve">Website updates - cta.org now uses google search analytics (which is a good thing) and the mobile site </w:t>
      </w:r>
      <w:proofErr w:type="gramStart"/>
      <w:r w:rsidRPr="00D71D34">
        <w:rPr>
          <w:rFonts w:ascii="Arial" w:hAnsi="Arial" w:cs="Arial"/>
        </w:rPr>
        <w:t>is</w:t>
      </w:r>
      <w:proofErr w:type="gramEnd"/>
      <w:r w:rsidRPr="00D71D34">
        <w:rPr>
          <w:rFonts w:ascii="Arial" w:hAnsi="Arial" w:cs="Arial"/>
        </w:rPr>
        <w:t xml:space="preserve"> up and running - please check it out on your cell phone.</w:t>
      </w:r>
    </w:p>
    <w:p w:rsidR="006E53F1" w:rsidRPr="001919EE" w:rsidRDefault="001919EE" w:rsidP="001919EE">
      <w:pPr>
        <w:pStyle w:val="Body1"/>
        <w:numPr>
          <w:ilvl w:val="0"/>
          <w:numId w:val="1"/>
        </w:numPr>
        <w:rPr>
          <w:rFonts w:ascii="Arial" w:hAnsi="Arial" w:cs="Arial"/>
        </w:rPr>
      </w:pPr>
      <w:r>
        <w:rPr>
          <w:rFonts w:ascii="Arial" w:hAnsi="Arial" w:cs="Arial"/>
        </w:rPr>
        <w:t>T</w:t>
      </w:r>
      <w:r w:rsidR="006E53F1" w:rsidRPr="001919EE">
        <w:rPr>
          <w:rFonts w:ascii="Arial" w:hAnsi="Arial" w:cs="Arial"/>
        </w:rPr>
        <w:t xml:space="preserve">he CARS+ Convention will be held in Irvine this year. The dates are </w:t>
      </w:r>
    </w:p>
    <w:p w:rsidR="001919EE" w:rsidRPr="00181FF2" w:rsidRDefault="006E53F1" w:rsidP="001919EE">
      <w:pPr>
        <w:pStyle w:val="Body1"/>
        <w:ind w:left="720"/>
        <w:rPr>
          <w:rFonts w:ascii="Arial" w:hAnsi="Arial" w:cs="Arial"/>
        </w:rPr>
      </w:pPr>
      <w:r w:rsidRPr="006E53F1">
        <w:rPr>
          <w:rFonts w:ascii="Arial" w:hAnsi="Arial" w:cs="Arial"/>
        </w:rPr>
        <w:t>February 28 throug</w:t>
      </w:r>
      <w:r w:rsidR="001919EE">
        <w:rPr>
          <w:rFonts w:ascii="Arial" w:hAnsi="Arial" w:cs="Arial"/>
        </w:rPr>
        <w:t xml:space="preserve">h March 2, </w:t>
      </w:r>
      <w:hyperlink r:id="rId9" w:history="1">
        <w:r w:rsidR="001919EE" w:rsidRPr="005020C2">
          <w:rPr>
            <w:rStyle w:val="Hyperlink"/>
            <w:rFonts w:ascii="Arial" w:hAnsi="Arial" w:cs="Arial"/>
          </w:rPr>
          <w:t>www.carsplus.org</w:t>
        </w:r>
      </w:hyperlink>
      <w:r w:rsidR="001919EE">
        <w:rPr>
          <w:rFonts w:ascii="Arial" w:hAnsi="Arial" w:cs="Arial"/>
        </w:rPr>
        <w:t xml:space="preserve"> </w:t>
      </w:r>
    </w:p>
    <w:p w:rsidR="001919EE" w:rsidRPr="00376B78" w:rsidRDefault="001919EE" w:rsidP="00376B78">
      <w:pPr>
        <w:pStyle w:val="Body1"/>
        <w:numPr>
          <w:ilvl w:val="0"/>
          <w:numId w:val="1"/>
        </w:numPr>
        <w:rPr>
          <w:rFonts w:ascii="Arial" w:hAnsi="Arial" w:cs="Arial"/>
        </w:rPr>
      </w:pPr>
      <w:r w:rsidRPr="001919EE">
        <w:rPr>
          <w:rFonts w:ascii="Arial" w:hAnsi="Arial" w:cs="Arial"/>
        </w:rPr>
        <w:t xml:space="preserve">Members are encouraged to attend the 53rd Annual Conference of the California Council of </w:t>
      </w:r>
      <w:r w:rsidRPr="00376B78">
        <w:rPr>
          <w:rFonts w:ascii="Arial" w:hAnsi="Arial" w:cs="Arial"/>
        </w:rPr>
        <w:t xml:space="preserve">Social Studies at the Sheraton Gateway on March 7 – 9, 2014. Registration information is available at </w:t>
      </w:r>
      <w:hyperlink r:id="rId10" w:history="1">
        <w:r w:rsidR="00376B78" w:rsidRPr="005020C2">
          <w:rPr>
            <w:rStyle w:val="Hyperlink"/>
            <w:rFonts w:ascii="Arial" w:hAnsi="Arial" w:cs="Arial"/>
          </w:rPr>
          <w:t>http://www.ccss.org/</w:t>
        </w:r>
      </w:hyperlink>
      <w:r w:rsidR="00376B78">
        <w:rPr>
          <w:rFonts w:ascii="Arial" w:hAnsi="Arial" w:cs="Arial"/>
        </w:rPr>
        <w:t xml:space="preserve"> </w:t>
      </w:r>
      <w:r w:rsidRPr="00376B78">
        <w:rPr>
          <w:rFonts w:ascii="Arial" w:hAnsi="Arial" w:cs="Arial"/>
        </w:rPr>
        <w:t>and by clicking on annual conference.</w:t>
      </w:r>
    </w:p>
    <w:p w:rsidR="006E53F1" w:rsidRPr="006E53F1" w:rsidRDefault="006E53F1" w:rsidP="006E53F1">
      <w:pPr>
        <w:pStyle w:val="Body1"/>
        <w:numPr>
          <w:ilvl w:val="0"/>
          <w:numId w:val="1"/>
        </w:numPr>
        <w:rPr>
          <w:rFonts w:ascii="Arial" w:hAnsi="Arial" w:cs="Arial"/>
        </w:rPr>
      </w:pPr>
      <w:r w:rsidRPr="006E53F1">
        <w:rPr>
          <w:rFonts w:ascii="Arial" w:hAnsi="Arial" w:cs="Arial"/>
        </w:rPr>
        <w:t xml:space="preserve">California School Psychologists Association (CASP), Josie Meza Malik; </w:t>
      </w:r>
    </w:p>
    <w:p w:rsidR="006E53F1" w:rsidRDefault="006E53F1" w:rsidP="001919EE">
      <w:pPr>
        <w:pStyle w:val="Body1"/>
        <w:ind w:left="720"/>
        <w:rPr>
          <w:rFonts w:ascii="Arial" w:hAnsi="Arial" w:cs="Arial"/>
        </w:rPr>
      </w:pPr>
      <w:hyperlink r:id="rId11" w:history="1">
        <w:r w:rsidRPr="005020C2">
          <w:rPr>
            <w:rStyle w:val="Hyperlink"/>
            <w:rFonts w:ascii="Arial" w:hAnsi="Arial" w:cs="Arial"/>
          </w:rPr>
          <w:t>www.casponline.org</w:t>
        </w:r>
      </w:hyperlink>
      <w:r>
        <w:rPr>
          <w:rFonts w:ascii="Arial" w:hAnsi="Arial" w:cs="Arial"/>
        </w:rPr>
        <w:t xml:space="preserve"> </w:t>
      </w:r>
      <w:r w:rsidRPr="006E53F1">
        <w:rPr>
          <w:rFonts w:ascii="Arial" w:hAnsi="Arial" w:cs="Arial"/>
        </w:rPr>
        <w:t xml:space="preserve"> shared that the CASP’s Spring Institute 2014 is scheduled for March 13 &amp; 14, 2014 at the Hyatt Regency, Santa Clara. D</w:t>
      </w:r>
      <w:r w:rsidR="001919EE">
        <w:rPr>
          <w:rFonts w:ascii="Arial" w:hAnsi="Arial" w:cs="Arial"/>
        </w:rPr>
        <w:t xml:space="preserve">eadline for early registration </w:t>
      </w:r>
      <w:r w:rsidRPr="006E53F1">
        <w:rPr>
          <w:rFonts w:ascii="Arial" w:hAnsi="Arial" w:cs="Arial"/>
        </w:rPr>
        <w:t xml:space="preserve">is February 24, 2014. Ahead of the Curve: Autism, </w:t>
      </w:r>
      <w:r w:rsidR="001919EE">
        <w:rPr>
          <w:rFonts w:ascii="Arial" w:hAnsi="Arial" w:cs="Arial"/>
        </w:rPr>
        <w:t xml:space="preserve">Mental Health and PBIS are the </w:t>
      </w:r>
      <w:r w:rsidRPr="006E53F1">
        <w:rPr>
          <w:rFonts w:ascii="Arial" w:hAnsi="Arial" w:cs="Arial"/>
        </w:rPr>
        <w:t>theme of this year’s spring event. Autism specialist Dr. Ivor Weiner has been added to</w:t>
      </w:r>
      <w:r w:rsidR="001919EE">
        <w:rPr>
          <w:rFonts w:ascii="Arial" w:hAnsi="Arial" w:cs="Arial"/>
        </w:rPr>
        <w:t xml:space="preserve"> </w:t>
      </w:r>
      <w:r w:rsidRPr="006E53F1">
        <w:rPr>
          <w:rFonts w:ascii="Arial" w:hAnsi="Arial" w:cs="Arial"/>
        </w:rPr>
        <w:t>the list of presenters. His six hour workshop will f</w:t>
      </w:r>
      <w:r w:rsidR="001919EE">
        <w:rPr>
          <w:rFonts w:ascii="Arial" w:hAnsi="Arial" w:cs="Arial"/>
        </w:rPr>
        <w:t xml:space="preserve">ocus on “Addressing the Social </w:t>
      </w:r>
      <w:r w:rsidRPr="006E53F1">
        <w:rPr>
          <w:rFonts w:ascii="Arial" w:hAnsi="Arial" w:cs="Arial"/>
        </w:rPr>
        <w:t>Communication Challe</w:t>
      </w:r>
      <w:r>
        <w:rPr>
          <w:rFonts w:ascii="Arial" w:hAnsi="Arial" w:cs="Arial"/>
        </w:rPr>
        <w:t xml:space="preserve">nges of Students with Autism”. </w:t>
      </w:r>
    </w:p>
    <w:p w:rsidR="002E5FCC" w:rsidRPr="001919EE" w:rsidRDefault="002E5FCC" w:rsidP="001919EE">
      <w:pPr>
        <w:pStyle w:val="Body1"/>
        <w:numPr>
          <w:ilvl w:val="0"/>
          <w:numId w:val="1"/>
        </w:numPr>
        <w:rPr>
          <w:rFonts w:ascii="Arial" w:hAnsi="Arial" w:cs="Arial"/>
        </w:rPr>
      </w:pPr>
      <w:r w:rsidRPr="002E5FCC">
        <w:rPr>
          <w:rFonts w:ascii="Arial" w:hAnsi="Arial" w:cs="Arial"/>
        </w:rPr>
        <w:t xml:space="preserve">The NEA/RA delegate candidacy form is available online at </w:t>
      </w:r>
      <w:hyperlink r:id="rId12" w:history="1">
        <w:r w:rsidRPr="005020C2">
          <w:rPr>
            <w:rStyle w:val="Hyperlink"/>
            <w:rFonts w:ascii="Arial" w:hAnsi="Arial" w:cs="Arial"/>
          </w:rPr>
          <w:t>www.cta.org</w:t>
        </w:r>
      </w:hyperlink>
      <w:r>
        <w:rPr>
          <w:rFonts w:ascii="Arial" w:hAnsi="Arial" w:cs="Arial"/>
        </w:rPr>
        <w:t xml:space="preserve"> </w:t>
      </w:r>
      <w:r w:rsidRPr="002E5FCC">
        <w:rPr>
          <w:rFonts w:ascii="Arial" w:hAnsi="Arial" w:cs="Arial"/>
        </w:rPr>
        <w:t xml:space="preserve"> </w:t>
      </w:r>
      <w:r w:rsidRPr="001919EE">
        <w:rPr>
          <w:rFonts w:ascii="Arial" w:hAnsi="Arial" w:cs="Arial"/>
        </w:rPr>
        <w:t xml:space="preserve">and in the December edition of the California Educator. Candidacy forms are due January 31st by 5:00 </w:t>
      </w:r>
      <w:proofErr w:type="spellStart"/>
      <w:r w:rsidRPr="001919EE">
        <w:rPr>
          <w:rFonts w:ascii="Arial" w:hAnsi="Arial" w:cs="Arial"/>
        </w:rPr>
        <w:t>p.m</w:t>
      </w:r>
      <w:proofErr w:type="spellEnd"/>
    </w:p>
    <w:p w:rsidR="002E5FCC" w:rsidRPr="002E5FCC" w:rsidRDefault="002E5FCC" w:rsidP="002E5FCC">
      <w:pPr>
        <w:pStyle w:val="Body1"/>
        <w:numPr>
          <w:ilvl w:val="0"/>
          <w:numId w:val="1"/>
        </w:numPr>
        <w:rPr>
          <w:rFonts w:ascii="Arial" w:hAnsi="Arial" w:cs="Arial"/>
        </w:rPr>
      </w:pPr>
      <w:r>
        <w:rPr>
          <w:rFonts w:ascii="Arial" w:hAnsi="Arial" w:cs="Arial"/>
        </w:rPr>
        <w:t>T</w:t>
      </w:r>
      <w:r w:rsidRPr="002E5FCC">
        <w:rPr>
          <w:rFonts w:ascii="Arial" w:hAnsi="Arial" w:cs="Arial"/>
        </w:rPr>
        <w:t xml:space="preserve">he draft ELA/ELD Curriculum Frameworks by grade level can be found at </w:t>
      </w:r>
    </w:p>
    <w:p w:rsidR="002E5FCC" w:rsidRDefault="002E5FCC" w:rsidP="002E5FCC">
      <w:pPr>
        <w:pStyle w:val="Body1"/>
        <w:ind w:left="720"/>
        <w:rPr>
          <w:rFonts w:ascii="Arial" w:hAnsi="Arial" w:cs="Arial"/>
        </w:rPr>
      </w:pPr>
      <w:hyperlink r:id="rId13" w:history="1">
        <w:r w:rsidRPr="005020C2">
          <w:rPr>
            <w:rStyle w:val="Hyperlink"/>
            <w:rFonts w:ascii="Arial" w:hAnsi="Arial" w:cs="Arial"/>
          </w:rPr>
          <w:t>http://www.cde.ca.gov/ci/rl/cf/elaeldfrmwrkchptrs2014.asp</w:t>
        </w:r>
      </w:hyperlink>
      <w:r>
        <w:rPr>
          <w:rFonts w:ascii="Arial" w:hAnsi="Arial" w:cs="Arial"/>
        </w:rPr>
        <w:t xml:space="preserve"> .  After reviewing the framework </w:t>
      </w:r>
      <w:r w:rsidRPr="002E5FCC">
        <w:rPr>
          <w:rFonts w:ascii="Arial" w:hAnsi="Arial" w:cs="Arial"/>
        </w:rPr>
        <w:t>members should go to the Department of Education s</w:t>
      </w:r>
      <w:r>
        <w:rPr>
          <w:rFonts w:ascii="Arial" w:hAnsi="Arial" w:cs="Arial"/>
        </w:rPr>
        <w:t xml:space="preserve">urvey to provide comments. The </w:t>
      </w:r>
      <w:r w:rsidRPr="002E5FCC">
        <w:rPr>
          <w:rFonts w:ascii="Arial" w:hAnsi="Arial" w:cs="Arial"/>
        </w:rPr>
        <w:t xml:space="preserve">survey can be accessed at </w:t>
      </w:r>
      <w:hyperlink r:id="rId14" w:history="1">
        <w:r w:rsidRPr="005020C2">
          <w:rPr>
            <w:rStyle w:val="Hyperlink"/>
            <w:rFonts w:ascii="Arial" w:hAnsi="Arial" w:cs="Arial"/>
          </w:rPr>
          <w:t>http://surveys.cde.ca.gov/surveylogin.asp?k=138677921630</w:t>
        </w:r>
      </w:hyperlink>
      <w:r>
        <w:rPr>
          <w:rFonts w:ascii="Arial" w:hAnsi="Arial" w:cs="Arial"/>
        </w:rPr>
        <w:t xml:space="preserve"> </w:t>
      </w:r>
    </w:p>
    <w:p w:rsidR="00B32D26" w:rsidRPr="001919EE" w:rsidRDefault="00B32D26" w:rsidP="001919EE">
      <w:pPr>
        <w:pStyle w:val="Body1"/>
        <w:numPr>
          <w:ilvl w:val="0"/>
          <w:numId w:val="1"/>
        </w:numPr>
        <w:rPr>
          <w:rFonts w:ascii="Arial" w:hAnsi="Arial" w:cs="Arial"/>
        </w:rPr>
      </w:pPr>
      <w:r w:rsidRPr="00B32D26">
        <w:rPr>
          <w:rFonts w:ascii="Arial" w:hAnsi="Arial" w:cs="Arial"/>
        </w:rPr>
        <w:t xml:space="preserve">CTA/NEA Retired continues to advocate for changes in the Social Security Offsets </w:t>
      </w:r>
      <w:r w:rsidRPr="001919EE">
        <w:rPr>
          <w:rFonts w:ascii="Arial" w:hAnsi="Arial" w:cs="Arial"/>
        </w:rPr>
        <w:t xml:space="preserve">(GPO and WEP.) Use the </w:t>
      </w:r>
      <w:hyperlink r:id="rId15" w:history="1">
        <w:r w:rsidRPr="001919EE">
          <w:rPr>
            <w:rStyle w:val="Hyperlink"/>
            <w:rFonts w:ascii="Arial" w:hAnsi="Arial" w:cs="Arial"/>
          </w:rPr>
          <w:t>www.nea.org/socialsecurity</w:t>
        </w:r>
      </w:hyperlink>
      <w:r w:rsidRPr="001919EE">
        <w:rPr>
          <w:rFonts w:ascii="Arial" w:hAnsi="Arial" w:cs="Arial"/>
        </w:rPr>
        <w:t xml:space="preserve"> for legislative updates. </w:t>
      </w:r>
    </w:p>
    <w:p w:rsidR="00B32D26" w:rsidRPr="00B32D26" w:rsidRDefault="00B32D26" w:rsidP="00B32D26">
      <w:pPr>
        <w:pStyle w:val="Body1"/>
        <w:numPr>
          <w:ilvl w:val="0"/>
          <w:numId w:val="1"/>
        </w:numPr>
        <w:rPr>
          <w:rFonts w:ascii="Arial" w:hAnsi="Arial" w:cs="Arial"/>
        </w:rPr>
      </w:pPr>
      <w:r w:rsidRPr="00B32D26">
        <w:rPr>
          <w:rFonts w:ascii="Arial" w:hAnsi="Arial" w:cs="Arial"/>
        </w:rPr>
        <w:t>Websites to access retirement infor</w:t>
      </w:r>
      <w:r>
        <w:rPr>
          <w:rFonts w:ascii="Arial" w:hAnsi="Arial" w:cs="Arial"/>
        </w:rPr>
        <w:t xml:space="preserve">mation include: </w:t>
      </w:r>
      <w:hyperlink r:id="rId16" w:history="1">
        <w:r w:rsidRPr="005147A6">
          <w:rPr>
            <w:rStyle w:val="Hyperlink"/>
            <w:rFonts w:ascii="Arial" w:hAnsi="Arial" w:cs="Arial"/>
          </w:rPr>
          <w:t>www.CALSTRS.com</w:t>
        </w:r>
      </w:hyperlink>
      <w:r>
        <w:rPr>
          <w:rFonts w:ascii="Arial" w:hAnsi="Arial" w:cs="Arial"/>
        </w:rPr>
        <w:t xml:space="preserve"> </w:t>
      </w:r>
    </w:p>
    <w:p w:rsidR="00B32D26" w:rsidRPr="00B32D26" w:rsidRDefault="00B32D26" w:rsidP="00B32D26">
      <w:pPr>
        <w:pStyle w:val="Body1"/>
        <w:ind w:left="720"/>
        <w:rPr>
          <w:rFonts w:ascii="Arial" w:hAnsi="Arial" w:cs="Arial"/>
        </w:rPr>
      </w:pPr>
      <w:hyperlink r:id="rId17" w:history="1">
        <w:r w:rsidRPr="005147A6">
          <w:rPr>
            <w:rStyle w:val="Hyperlink"/>
            <w:rFonts w:ascii="Arial" w:hAnsi="Arial" w:cs="Arial"/>
          </w:rPr>
          <w:t>www.mycalstrs.com</w:t>
        </w:r>
      </w:hyperlink>
      <w:r>
        <w:rPr>
          <w:rFonts w:ascii="Arial" w:hAnsi="Arial" w:cs="Arial"/>
        </w:rPr>
        <w:t xml:space="preserve">  </w:t>
      </w:r>
      <w:hyperlink r:id="rId18" w:history="1">
        <w:r w:rsidRPr="005147A6">
          <w:rPr>
            <w:rStyle w:val="Hyperlink"/>
            <w:rFonts w:ascii="Arial" w:hAnsi="Arial" w:cs="Arial"/>
          </w:rPr>
          <w:t>www.cta.org</w:t>
        </w:r>
      </w:hyperlink>
      <w:r>
        <w:rPr>
          <w:rFonts w:ascii="Arial" w:hAnsi="Arial" w:cs="Arial"/>
        </w:rPr>
        <w:t xml:space="preserve">  </w:t>
      </w:r>
      <w:hyperlink r:id="rId19" w:history="1">
        <w:r w:rsidRPr="005147A6">
          <w:rPr>
            <w:rStyle w:val="Hyperlink"/>
            <w:rFonts w:ascii="Arial" w:hAnsi="Arial" w:cs="Arial"/>
          </w:rPr>
          <w:t>www.leginfo.ca.gov</w:t>
        </w:r>
      </w:hyperlink>
      <w:r>
        <w:rPr>
          <w:rFonts w:ascii="Arial" w:hAnsi="Arial" w:cs="Arial"/>
        </w:rPr>
        <w:t xml:space="preserve">  </w:t>
      </w:r>
      <w:hyperlink r:id="rId20" w:history="1">
        <w:r w:rsidRPr="005147A6">
          <w:rPr>
            <w:rStyle w:val="Hyperlink"/>
            <w:rFonts w:ascii="Arial" w:hAnsi="Arial" w:cs="Arial"/>
          </w:rPr>
          <w:t>www.CALPERS.ca.gov</w:t>
        </w:r>
      </w:hyperlink>
      <w:r>
        <w:rPr>
          <w:rFonts w:ascii="Arial" w:hAnsi="Arial" w:cs="Arial"/>
        </w:rPr>
        <w:t xml:space="preserve"> </w:t>
      </w:r>
    </w:p>
    <w:p w:rsidR="00D95F12" w:rsidRDefault="00B32D26" w:rsidP="00B32D26">
      <w:pPr>
        <w:pStyle w:val="Body1"/>
        <w:ind w:left="720"/>
        <w:rPr>
          <w:rFonts w:ascii="Arial" w:hAnsi="Arial" w:cs="Arial"/>
        </w:rPr>
      </w:pPr>
      <w:hyperlink r:id="rId21" w:history="1">
        <w:r w:rsidRPr="005147A6">
          <w:rPr>
            <w:rStyle w:val="Hyperlink"/>
            <w:rFonts w:ascii="Arial" w:hAnsi="Arial" w:cs="Arial"/>
          </w:rPr>
          <w:t>www.nea.org</w:t>
        </w:r>
      </w:hyperlink>
      <w:r>
        <w:rPr>
          <w:rFonts w:ascii="Arial" w:hAnsi="Arial" w:cs="Arial"/>
        </w:rPr>
        <w:t xml:space="preserve">  </w:t>
      </w:r>
      <w:hyperlink r:id="rId22" w:history="1">
        <w:r w:rsidRPr="005147A6">
          <w:rPr>
            <w:rStyle w:val="Hyperlink"/>
            <w:rFonts w:ascii="Arial" w:hAnsi="Arial" w:cs="Arial"/>
          </w:rPr>
          <w:t>www.ctainvest.org</w:t>
        </w:r>
      </w:hyperlink>
      <w:r>
        <w:rPr>
          <w:rFonts w:ascii="Arial" w:hAnsi="Arial" w:cs="Arial"/>
        </w:rPr>
        <w:t xml:space="preserve">  </w:t>
      </w:r>
      <w:hyperlink r:id="rId23" w:history="1">
        <w:r w:rsidRPr="005147A6">
          <w:rPr>
            <w:rStyle w:val="Hyperlink"/>
            <w:rFonts w:ascii="Arial" w:hAnsi="Arial" w:cs="Arial"/>
          </w:rPr>
          <w:t>www.nirsonline.org</w:t>
        </w:r>
      </w:hyperlink>
      <w:r>
        <w:rPr>
          <w:rFonts w:ascii="Arial" w:hAnsi="Arial" w:cs="Arial"/>
        </w:rPr>
        <w:t xml:space="preserve">  </w:t>
      </w:r>
      <w:hyperlink r:id="rId24" w:history="1">
        <w:r w:rsidRPr="005147A6">
          <w:rPr>
            <w:rStyle w:val="Hyperlink"/>
            <w:rFonts w:ascii="Arial" w:hAnsi="Arial" w:cs="Arial"/>
          </w:rPr>
          <w:t>www.ssfairness.com</w:t>
        </w:r>
      </w:hyperlink>
      <w:r>
        <w:rPr>
          <w:rFonts w:ascii="Arial" w:hAnsi="Arial" w:cs="Arial"/>
        </w:rPr>
        <w:t xml:space="preserve"> </w:t>
      </w:r>
    </w:p>
    <w:p w:rsidR="00E627BD" w:rsidRPr="00780B1A" w:rsidRDefault="00E627BD">
      <w:pPr>
        <w:pStyle w:val="Body1"/>
        <w:rPr>
          <w:rFonts w:ascii="Arial" w:hAnsi="Arial" w:cs="Arial"/>
        </w:rPr>
      </w:pPr>
    </w:p>
    <w:p w:rsidR="00B32D26" w:rsidRPr="008D0A09" w:rsidRDefault="00B32D26" w:rsidP="00B32D26">
      <w:pPr>
        <w:pStyle w:val="Body1"/>
        <w:rPr>
          <w:rFonts w:ascii="Arial" w:hAnsi="Arial" w:cs="Arial"/>
          <w:b/>
          <w:szCs w:val="24"/>
        </w:rPr>
      </w:pPr>
    </w:p>
    <w:p w:rsidR="00B32D26" w:rsidRPr="008D0A09" w:rsidRDefault="00B32D26" w:rsidP="00B32D26">
      <w:pPr>
        <w:pStyle w:val="Body1"/>
        <w:rPr>
          <w:rFonts w:ascii="Arial" w:hAnsi="Arial" w:cs="Arial"/>
          <w:b/>
          <w:sz w:val="28"/>
          <w:szCs w:val="28"/>
        </w:rPr>
      </w:pPr>
      <w:r w:rsidRPr="008D0A09">
        <w:rPr>
          <w:rFonts w:ascii="Arial" w:hAnsi="Arial" w:cs="Arial"/>
          <w:b/>
          <w:sz w:val="28"/>
          <w:szCs w:val="28"/>
        </w:rPr>
        <w:t xml:space="preserve">New Strategic Plan Offers Blueprint for CTA's </w:t>
      </w:r>
      <w:proofErr w:type="gramStart"/>
      <w:r w:rsidRPr="008D0A09">
        <w:rPr>
          <w:rFonts w:ascii="Arial" w:hAnsi="Arial" w:cs="Arial"/>
          <w:b/>
          <w:sz w:val="28"/>
          <w:szCs w:val="28"/>
        </w:rPr>
        <w:t>Future</w:t>
      </w:r>
      <w:r w:rsidR="0084315A">
        <w:rPr>
          <w:rFonts w:ascii="Arial" w:hAnsi="Arial" w:cs="Arial"/>
          <w:b/>
          <w:sz w:val="28"/>
          <w:szCs w:val="28"/>
        </w:rPr>
        <w:t xml:space="preserve">  --</w:t>
      </w:r>
      <w:proofErr w:type="gramEnd"/>
      <w:r w:rsidR="0084315A">
        <w:rPr>
          <w:rFonts w:ascii="Arial" w:hAnsi="Arial" w:cs="Arial"/>
          <w:b/>
          <w:sz w:val="28"/>
          <w:szCs w:val="28"/>
        </w:rPr>
        <w:t xml:space="preserve"> IT PASSED!!!</w:t>
      </w:r>
    </w:p>
    <w:p w:rsidR="00B32D26" w:rsidRPr="00B32D26" w:rsidRDefault="00B32D26" w:rsidP="00B32D26">
      <w:pPr>
        <w:pStyle w:val="Body1"/>
        <w:rPr>
          <w:rFonts w:ascii="Arial" w:hAnsi="Arial" w:cs="Arial"/>
        </w:rPr>
      </w:pPr>
      <w:r w:rsidRPr="00B32D26">
        <w:rPr>
          <w:rFonts w:ascii="Arial" w:hAnsi="Arial" w:cs="Arial"/>
        </w:rPr>
        <w:t>More than a year in the making, involving a committee of more than 75 educators, leaders and staff and input from thousands of members, the CTA Strategic Plan to guide us into the future and engage members in the wo</w:t>
      </w:r>
      <w:r w:rsidR="0084315A">
        <w:rPr>
          <w:rFonts w:ascii="Arial" w:hAnsi="Arial" w:cs="Arial"/>
        </w:rPr>
        <w:t>rk of the union was passed on Sunday morning at</w:t>
      </w:r>
      <w:r w:rsidRPr="00B32D26">
        <w:rPr>
          <w:rFonts w:ascii="Arial" w:hAnsi="Arial" w:cs="Arial"/>
        </w:rPr>
        <w:t xml:space="preserve"> Council</w:t>
      </w:r>
      <w:r w:rsidR="0084315A">
        <w:rPr>
          <w:rFonts w:ascii="Arial" w:hAnsi="Arial" w:cs="Arial"/>
        </w:rPr>
        <w:t>.</w:t>
      </w:r>
    </w:p>
    <w:p w:rsidR="00B32D26" w:rsidRPr="00B32D26" w:rsidRDefault="00B32D26" w:rsidP="00B32D26">
      <w:pPr>
        <w:pStyle w:val="Body1"/>
        <w:rPr>
          <w:rFonts w:ascii="Arial" w:hAnsi="Arial" w:cs="Arial"/>
        </w:rPr>
      </w:pPr>
      <w:r w:rsidRPr="00B32D26">
        <w:rPr>
          <w:rFonts w:ascii="Arial" w:hAnsi="Arial" w:cs="Arial"/>
        </w:rPr>
        <w:t xml:space="preserve">This long-term plan will make CTA stronger in the ongoing fight against corporate reformers "attempting to undermine educators and public education by blaming and demonizing us, individually and collectively," said Council delegate </w:t>
      </w:r>
      <w:proofErr w:type="spellStart"/>
      <w:r w:rsidRPr="00B32D26">
        <w:rPr>
          <w:rFonts w:ascii="Arial" w:hAnsi="Arial" w:cs="Arial"/>
        </w:rPr>
        <w:t>Shannan</w:t>
      </w:r>
      <w:proofErr w:type="spellEnd"/>
      <w:r w:rsidRPr="00B32D26">
        <w:rPr>
          <w:rFonts w:ascii="Arial" w:hAnsi="Arial" w:cs="Arial"/>
        </w:rPr>
        <w:t xml:space="preserve"> Brown, president of the San Juan Teachers Association in Sacramento County. "With this Strategic Plan as our guide, the California Teachers Association will once again lead the way."</w:t>
      </w:r>
    </w:p>
    <w:p w:rsidR="00B32D26" w:rsidRPr="00B32D26" w:rsidRDefault="00B32D26" w:rsidP="00B32D26">
      <w:pPr>
        <w:pStyle w:val="Body1"/>
        <w:rPr>
          <w:rFonts w:ascii="Arial" w:hAnsi="Arial" w:cs="Arial"/>
        </w:rPr>
      </w:pPr>
    </w:p>
    <w:p w:rsidR="008D0A09" w:rsidRDefault="00B32D26" w:rsidP="00B32D26">
      <w:pPr>
        <w:pStyle w:val="Body1"/>
        <w:rPr>
          <w:rFonts w:ascii="Arial" w:hAnsi="Arial" w:cs="Arial"/>
        </w:rPr>
      </w:pPr>
      <w:r w:rsidRPr="00B32D26">
        <w:rPr>
          <w:rFonts w:ascii="Arial" w:hAnsi="Arial" w:cs="Arial"/>
        </w:rPr>
        <w:lastRenderedPageBreak/>
        <w:t>The plan, titled "Our Union, Our Future," is available to all members on the CTA w</w:t>
      </w:r>
      <w:r>
        <w:rPr>
          <w:rFonts w:ascii="Arial" w:hAnsi="Arial" w:cs="Arial"/>
        </w:rPr>
        <w:t xml:space="preserve">ebsite at </w:t>
      </w:r>
      <w:hyperlink r:id="rId25" w:history="1">
        <w:r w:rsidRPr="005147A6">
          <w:rPr>
            <w:rStyle w:val="Hyperlink"/>
            <w:rFonts w:ascii="Arial" w:hAnsi="Arial" w:cs="Arial"/>
          </w:rPr>
          <w:t>www.cta.org/ourfuture</w:t>
        </w:r>
      </w:hyperlink>
      <w:r>
        <w:rPr>
          <w:rFonts w:ascii="Arial" w:hAnsi="Arial" w:cs="Arial"/>
        </w:rPr>
        <w:t xml:space="preserve"> </w:t>
      </w:r>
    </w:p>
    <w:p w:rsidR="008D0A09" w:rsidRDefault="008D0A09" w:rsidP="00B32D26">
      <w:pPr>
        <w:pStyle w:val="Body1"/>
        <w:rPr>
          <w:rFonts w:ascii="Arial" w:hAnsi="Arial" w:cs="Arial"/>
        </w:rPr>
      </w:pPr>
    </w:p>
    <w:p w:rsidR="008D0A09" w:rsidRPr="008D0A09" w:rsidRDefault="0084315A" w:rsidP="008D0A09">
      <w:pPr>
        <w:pStyle w:val="Body1"/>
        <w:rPr>
          <w:rFonts w:ascii="Arial" w:hAnsi="Arial" w:cs="Arial"/>
          <w:b/>
          <w:sz w:val="28"/>
          <w:szCs w:val="28"/>
        </w:rPr>
      </w:pPr>
      <w:r>
        <w:rPr>
          <w:rFonts w:ascii="Arial" w:hAnsi="Arial" w:cs="Arial"/>
          <w:b/>
          <w:sz w:val="28"/>
          <w:szCs w:val="28"/>
        </w:rPr>
        <w:t>Vergar</w:t>
      </w:r>
      <w:r w:rsidR="00FE1F2C">
        <w:rPr>
          <w:rFonts w:ascii="Arial" w:hAnsi="Arial" w:cs="Arial"/>
          <w:b/>
          <w:sz w:val="28"/>
          <w:szCs w:val="28"/>
        </w:rPr>
        <w:t xml:space="preserve">a v. California and the </w:t>
      </w:r>
      <w:proofErr w:type="spellStart"/>
      <w:r w:rsidR="00FE1F2C">
        <w:rPr>
          <w:rFonts w:ascii="Arial" w:hAnsi="Arial" w:cs="Arial"/>
          <w:b/>
          <w:sz w:val="28"/>
          <w:szCs w:val="28"/>
        </w:rPr>
        <w:t>Friedrich</w:t>
      </w:r>
      <w:r>
        <w:rPr>
          <w:rFonts w:ascii="Arial" w:hAnsi="Arial" w:cs="Arial"/>
          <w:b/>
          <w:sz w:val="28"/>
          <w:szCs w:val="28"/>
        </w:rPr>
        <w:t>s</w:t>
      </w:r>
      <w:proofErr w:type="spellEnd"/>
      <w:r>
        <w:rPr>
          <w:rFonts w:ascii="Arial" w:hAnsi="Arial" w:cs="Arial"/>
          <w:b/>
          <w:sz w:val="28"/>
          <w:szCs w:val="28"/>
        </w:rPr>
        <w:t xml:space="preserve"> case</w:t>
      </w:r>
    </w:p>
    <w:p w:rsidR="0084315A" w:rsidRPr="0084315A" w:rsidRDefault="0084315A" w:rsidP="0084315A">
      <w:pPr>
        <w:pStyle w:val="Body1"/>
        <w:rPr>
          <w:rFonts w:ascii="Arial" w:hAnsi="Arial" w:cs="Arial"/>
        </w:rPr>
      </w:pPr>
      <w:r>
        <w:rPr>
          <w:rFonts w:ascii="Arial" w:hAnsi="Arial" w:cs="Arial"/>
        </w:rPr>
        <w:t>The Vergara lawsuit basically attacks the permanent status of teachers and their right to due process. Behind this lawsuit is Silicon Valley billionaire entrepreneur Dave Welch and the organization which he founded “Students Matter” (Yet another “wolf in sheep’s clothing</w:t>
      </w:r>
      <w:r w:rsidR="00FE1F2C">
        <w:rPr>
          <w:rFonts w:ascii="Arial" w:hAnsi="Arial" w:cs="Arial"/>
        </w:rPr>
        <w:t>”</w:t>
      </w:r>
      <w:r>
        <w:rPr>
          <w:rFonts w:ascii="Arial" w:hAnsi="Arial" w:cs="Arial"/>
        </w:rPr>
        <w:t xml:space="preserve"> anti-teacher, anti-student type organization like Michelle Rhee’s Students First)</w:t>
      </w:r>
    </w:p>
    <w:p w:rsidR="0084315A" w:rsidRPr="0084315A" w:rsidRDefault="0084315A" w:rsidP="0084315A">
      <w:pPr>
        <w:pStyle w:val="Body1"/>
        <w:rPr>
          <w:rFonts w:ascii="Arial" w:hAnsi="Arial" w:cs="Arial"/>
        </w:rPr>
      </w:pPr>
    </w:p>
    <w:p w:rsidR="0084315A" w:rsidRPr="0084315A" w:rsidRDefault="00FE1F2C" w:rsidP="0084315A">
      <w:pPr>
        <w:pStyle w:val="Body1"/>
        <w:rPr>
          <w:rFonts w:ascii="Arial" w:hAnsi="Arial" w:cs="Arial"/>
        </w:rPr>
      </w:pPr>
      <w:r>
        <w:rPr>
          <w:rFonts w:ascii="Arial" w:hAnsi="Arial" w:cs="Arial"/>
        </w:rPr>
        <w:t>CTA has joined the California Federation of Teachers to fight this lawsuit on behalf of the teachers.</w:t>
      </w:r>
    </w:p>
    <w:p w:rsidR="0084315A" w:rsidRPr="0084315A" w:rsidRDefault="0084315A" w:rsidP="0084315A">
      <w:pPr>
        <w:pStyle w:val="Body1"/>
        <w:rPr>
          <w:rFonts w:ascii="Arial" w:hAnsi="Arial" w:cs="Arial"/>
        </w:rPr>
      </w:pPr>
    </w:p>
    <w:p w:rsidR="0084315A" w:rsidRPr="00FE1F2C" w:rsidRDefault="00FE1F2C">
      <w:pPr>
        <w:pStyle w:val="Body1"/>
        <w:rPr>
          <w:rFonts w:ascii="Arial" w:hAnsi="Arial" w:cs="Arial"/>
        </w:rPr>
      </w:pPr>
      <w:r>
        <w:rPr>
          <w:rFonts w:ascii="Arial" w:hAnsi="Arial" w:cs="Arial"/>
        </w:rPr>
        <w:t>T</w:t>
      </w:r>
      <w:r w:rsidR="0084315A" w:rsidRPr="0084315A">
        <w:rPr>
          <w:rFonts w:ascii="Arial" w:hAnsi="Arial" w:cs="Arial"/>
        </w:rPr>
        <w:t xml:space="preserve">hose same corporate interests </w:t>
      </w:r>
      <w:proofErr w:type="gramStart"/>
      <w:r>
        <w:rPr>
          <w:rFonts w:ascii="Arial" w:hAnsi="Arial" w:cs="Arial"/>
        </w:rPr>
        <w:t>which</w:t>
      </w:r>
      <w:proofErr w:type="gramEnd"/>
      <w:r>
        <w:rPr>
          <w:rFonts w:ascii="Arial" w:hAnsi="Arial" w:cs="Arial"/>
        </w:rPr>
        <w:t xml:space="preserve"> were behind the unsuccessful Prop 32 in 2012 </w:t>
      </w:r>
      <w:r w:rsidR="0084315A" w:rsidRPr="0084315A">
        <w:rPr>
          <w:rFonts w:ascii="Arial" w:hAnsi="Arial" w:cs="Arial"/>
        </w:rPr>
        <w:t xml:space="preserve">are trying to do in the courts what they couldn’t do in the legislature or in the ballot box: silence our voices. </w:t>
      </w:r>
      <w:r>
        <w:rPr>
          <w:rFonts w:ascii="Arial" w:hAnsi="Arial" w:cs="Arial"/>
        </w:rPr>
        <w:t xml:space="preserve">The </w:t>
      </w:r>
      <w:proofErr w:type="spellStart"/>
      <w:r>
        <w:rPr>
          <w:rFonts w:ascii="Arial" w:hAnsi="Arial" w:cs="Arial"/>
        </w:rPr>
        <w:t>Friedrichs</w:t>
      </w:r>
      <w:proofErr w:type="spellEnd"/>
      <w:r>
        <w:rPr>
          <w:rFonts w:ascii="Arial" w:hAnsi="Arial" w:cs="Arial"/>
        </w:rPr>
        <w:t xml:space="preserve"> case is trying to prevent CTA from collecting agency fees even though</w:t>
      </w:r>
      <w:r w:rsidR="001D51BE">
        <w:rPr>
          <w:rFonts w:ascii="Arial" w:hAnsi="Arial" w:cs="Arial"/>
        </w:rPr>
        <w:t xml:space="preserve"> </w:t>
      </w:r>
      <w:r>
        <w:rPr>
          <w:rFonts w:ascii="Arial" w:hAnsi="Arial" w:cs="Arial"/>
        </w:rPr>
        <w:t>t</w:t>
      </w:r>
      <w:r w:rsidR="0084315A" w:rsidRPr="0084315A">
        <w:rPr>
          <w:rFonts w:ascii="Arial" w:hAnsi="Arial" w:cs="Arial"/>
        </w:rPr>
        <w:t>he U.S. Supreme Court has repeatedly ruled it is only fair that non-members contribute toward these expenses because they benefit from the</w:t>
      </w:r>
      <w:r w:rsidR="001D51BE">
        <w:rPr>
          <w:rFonts w:ascii="Arial" w:hAnsi="Arial" w:cs="Arial"/>
        </w:rPr>
        <w:t>m. The</w:t>
      </w:r>
      <w:r w:rsidR="0084315A" w:rsidRPr="0084315A">
        <w:rPr>
          <w:rFonts w:ascii="Arial" w:hAnsi="Arial" w:cs="Arial"/>
        </w:rPr>
        <w:t xml:space="preserve"> lawyers </w:t>
      </w:r>
      <w:r w:rsidR="001D51BE">
        <w:rPr>
          <w:rFonts w:ascii="Arial" w:hAnsi="Arial" w:cs="Arial"/>
        </w:rPr>
        <w:t>for the corporate interests hope to</w:t>
      </w:r>
      <w:r w:rsidR="0084315A" w:rsidRPr="0084315A">
        <w:rPr>
          <w:rFonts w:ascii="Arial" w:hAnsi="Arial" w:cs="Arial"/>
        </w:rPr>
        <w:t xml:space="preserve"> appeal the case and overturn the Supreme Court</w:t>
      </w:r>
      <w:r>
        <w:rPr>
          <w:rFonts w:ascii="Arial" w:hAnsi="Arial" w:cs="Arial"/>
        </w:rPr>
        <w:t xml:space="preserve"> ruling.   </w:t>
      </w:r>
    </w:p>
    <w:p w:rsidR="0084315A" w:rsidRPr="005C31CA" w:rsidRDefault="0084315A">
      <w:pPr>
        <w:pStyle w:val="Body1"/>
        <w:rPr>
          <w:rFonts w:ascii="Arial" w:hAnsi="Arial" w:cs="Arial"/>
          <w:b/>
        </w:rPr>
      </w:pPr>
    </w:p>
    <w:p w:rsidR="00D73565" w:rsidRPr="002E09EE" w:rsidRDefault="00B62803">
      <w:pPr>
        <w:pStyle w:val="Body1"/>
        <w:rPr>
          <w:rFonts w:ascii="Arial" w:hAnsi="Arial" w:cs="Arial"/>
          <w:b/>
        </w:rPr>
      </w:pPr>
      <w:r>
        <w:rPr>
          <w:rFonts w:ascii="Arial" w:hAnsi="Arial" w:cs="Arial"/>
          <w:b/>
        </w:rPr>
        <w:t>Report of Board of Directors, Committees, and Items of New Business</w:t>
      </w:r>
      <w:r w:rsidR="002E09EE">
        <w:rPr>
          <w:rFonts w:ascii="Arial" w:hAnsi="Arial" w:cs="Arial"/>
          <w:b/>
        </w:rPr>
        <w:t>:</w:t>
      </w:r>
    </w:p>
    <w:p w:rsidR="00D73565" w:rsidRDefault="002E09EE">
      <w:pPr>
        <w:pStyle w:val="Body1"/>
        <w:rPr>
          <w:rFonts w:ascii="Arial" w:hAnsi="Arial" w:cs="Arial"/>
        </w:rPr>
      </w:pPr>
      <w:r>
        <w:rPr>
          <w:rFonts w:ascii="Arial" w:hAnsi="Arial" w:cs="Arial"/>
          <w:b/>
        </w:rPr>
        <w:t>(You may access this report</w:t>
      </w:r>
      <w:r w:rsidR="00042C9A">
        <w:rPr>
          <w:rFonts w:ascii="Arial" w:hAnsi="Arial" w:cs="Arial"/>
          <w:b/>
        </w:rPr>
        <w:t xml:space="preserve"> </w:t>
      </w:r>
      <w:r w:rsidR="00D73565" w:rsidRPr="00D73565">
        <w:rPr>
          <w:rFonts w:ascii="Arial" w:hAnsi="Arial" w:cs="Arial"/>
          <w:b/>
        </w:rPr>
        <w:t xml:space="preserve">in its </w:t>
      </w:r>
      <w:r w:rsidR="003B587A">
        <w:rPr>
          <w:rFonts w:ascii="Arial" w:hAnsi="Arial" w:cs="Arial"/>
          <w:b/>
        </w:rPr>
        <w:t xml:space="preserve">entirety </w:t>
      </w:r>
      <w:r w:rsidR="00042C9A">
        <w:rPr>
          <w:rFonts w:ascii="Arial" w:hAnsi="Arial" w:cs="Arial"/>
          <w:b/>
        </w:rPr>
        <w:t xml:space="preserve">by: 1) logging </w:t>
      </w:r>
      <w:r w:rsidR="003B587A">
        <w:rPr>
          <w:rFonts w:ascii="Arial" w:hAnsi="Arial" w:cs="Arial"/>
          <w:b/>
        </w:rPr>
        <w:t>on</w:t>
      </w:r>
      <w:r w:rsidR="00042C9A">
        <w:rPr>
          <w:rFonts w:ascii="Arial" w:hAnsi="Arial" w:cs="Arial"/>
          <w:b/>
        </w:rPr>
        <w:t>to</w:t>
      </w:r>
      <w:r w:rsidR="003B587A">
        <w:rPr>
          <w:rFonts w:ascii="Arial" w:hAnsi="Arial" w:cs="Arial"/>
          <w:b/>
        </w:rPr>
        <w:t xml:space="preserve"> the </w:t>
      </w:r>
      <w:r w:rsidR="00042C9A">
        <w:rPr>
          <w:rFonts w:ascii="Arial" w:hAnsi="Arial" w:cs="Arial"/>
          <w:b/>
        </w:rPr>
        <w:t>CTA web site; 2) Click on the “About CTA”</w:t>
      </w:r>
      <w:r w:rsidR="00B002EB">
        <w:rPr>
          <w:rFonts w:ascii="Arial" w:hAnsi="Arial" w:cs="Arial"/>
          <w:b/>
        </w:rPr>
        <w:t xml:space="preserve"> tab; 3) </w:t>
      </w:r>
      <w:r w:rsidR="00042C9A">
        <w:rPr>
          <w:rFonts w:ascii="Arial" w:hAnsi="Arial" w:cs="Arial"/>
          <w:b/>
        </w:rPr>
        <w:t>scroll down to choose “Leadership”</w:t>
      </w:r>
      <w:r w:rsidR="00B002EB">
        <w:rPr>
          <w:rFonts w:ascii="Arial" w:hAnsi="Arial" w:cs="Arial"/>
          <w:b/>
        </w:rPr>
        <w:t>;</w:t>
      </w:r>
      <w:r w:rsidR="00042C9A">
        <w:rPr>
          <w:rFonts w:ascii="Arial" w:hAnsi="Arial" w:cs="Arial"/>
          <w:b/>
        </w:rPr>
        <w:t xml:space="preserve">  </w:t>
      </w:r>
      <w:r w:rsidR="00B002EB">
        <w:rPr>
          <w:rFonts w:ascii="Arial" w:hAnsi="Arial" w:cs="Arial"/>
          <w:b/>
        </w:rPr>
        <w:t xml:space="preserve">4) In </w:t>
      </w:r>
      <w:r w:rsidR="00042C9A">
        <w:rPr>
          <w:rFonts w:ascii="Arial" w:hAnsi="Arial" w:cs="Arial"/>
          <w:b/>
        </w:rPr>
        <w:t>the “Leadership”</w:t>
      </w:r>
      <w:r w:rsidR="00B002EB">
        <w:rPr>
          <w:rFonts w:ascii="Arial" w:hAnsi="Arial" w:cs="Arial"/>
          <w:b/>
        </w:rPr>
        <w:t xml:space="preserve"> window</w:t>
      </w:r>
      <w:r w:rsidR="00042C9A">
        <w:rPr>
          <w:rFonts w:ascii="Arial" w:hAnsi="Arial" w:cs="Arial"/>
          <w:b/>
        </w:rPr>
        <w:t xml:space="preserve">, choose </w:t>
      </w:r>
      <w:r w:rsidR="00B002EB">
        <w:rPr>
          <w:rFonts w:ascii="Arial" w:hAnsi="Arial" w:cs="Arial"/>
          <w:b/>
        </w:rPr>
        <w:t xml:space="preserve">the </w:t>
      </w:r>
      <w:r w:rsidR="00042C9A">
        <w:rPr>
          <w:rFonts w:ascii="Arial" w:hAnsi="Arial" w:cs="Arial"/>
          <w:b/>
        </w:rPr>
        <w:t>“State Council”</w:t>
      </w:r>
      <w:r w:rsidR="00B002EB">
        <w:rPr>
          <w:rFonts w:ascii="Arial" w:hAnsi="Arial" w:cs="Arial"/>
          <w:b/>
        </w:rPr>
        <w:t xml:space="preserve"> option; 5) </w:t>
      </w:r>
      <w:r w:rsidR="00042C9A">
        <w:rPr>
          <w:rFonts w:ascii="Arial" w:hAnsi="Arial" w:cs="Arial"/>
          <w:b/>
        </w:rPr>
        <w:t xml:space="preserve">look for </w:t>
      </w:r>
      <w:r w:rsidR="00B002EB">
        <w:rPr>
          <w:rFonts w:ascii="Arial" w:hAnsi="Arial" w:cs="Arial"/>
          <w:b/>
        </w:rPr>
        <w:t xml:space="preserve">and choose </w:t>
      </w:r>
      <w:r w:rsidR="00042C9A">
        <w:rPr>
          <w:rFonts w:ascii="Arial" w:hAnsi="Arial" w:cs="Arial"/>
          <w:b/>
        </w:rPr>
        <w:t>the “Report Book” option)</w:t>
      </w:r>
    </w:p>
    <w:p w:rsidR="00D73565" w:rsidRDefault="00D73565">
      <w:pPr>
        <w:pStyle w:val="Body1"/>
        <w:rPr>
          <w:rFonts w:ascii="Arial" w:hAnsi="Arial" w:cs="Arial"/>
        </w:rPr>
      </w:pPr>
    </w:p>
    <w:p w:rsidR="003722E2" w:rsidRPr="00861E1B" w:rsidRDefault="00121899" w:rsidP="00B13861">
      <w:pPr>
        <w:pStyle w:val="Body1"/>
        <w:rPr>
          <w:rFonts w:ascii="Arial" w:hAnsi="Arial" w:cs="Arial"/>
          <w:b/>
        </w:rPr>
      </w:pPr>
      <w:r>
        <w:rPr>
          <w:rFonts w:ascii="Arial" w:hAnsi="Arial" w:cs="Arial"/>
          <w:b/>
        </w:rPr>
        <w:t>Committee Reports</w:t>
      </w:r>
      <w:proofErr w:type="gramStart"/>
      <w:r>
        <w:rPr>
          <w:rFonts w:ascii="Arial" w:hAnsi="Arial" w:cs="Arial"/>
          <w:b/>
        </w:rPr>
        <w:t>:</w:t>
      </w:r>
      <w:r w:rsidR="00B13861" w:rsidRPr="00B13861">
        <w:rPr>
          <w:rFonts w:ascii="Arial" w:hAnsi="Arial" w:cs="Arial"/>
        </w:rPr>
        <w:t>.</w:t>
      </w:r>
      <w:proofErr w:type="gramEnd"/>
    </w:p>
    <w:p w:rsidR="00E033FA" w:rsidRPr="00E033FA" w:rsidRDefault="00E033FA" w:rsidP="00F35D28">
      <w:pPr>
        <w:pStyle w:val="Body1"/>
        <w:rPr>
          <w:rFonts w:ascii="Arial" w:hAnsi="Arial" w:cs="Arial"/>
          <w:b/>
        </w:rPr>
      </w:pPr>
      <w:r w:rsidRPr="00E033FA">
        <w:rPr>
          <w:rFonts w:ascii="Arial" w:hAnsi="Arial" w:cs="Arial"/>
          <w:b/>
        </w:rPr>
        <w:t xml:space="preserve">LANGUAGE ACQUISITION COMMITTEE </w:t>
      </w:r>
      <w:r w:rsidRPr="00E033FA">
        <w:rPr>
          <w:rFonts w:ascii="Arial" w:hAnsi="Arial" w:cs="Arial"/>
          <w:b/>
        </w:rPr>
        <w:cr/>
      </w:r>
      <w:r w:rsidRPr="00E033FA">
        <w:t xml:space="preserve"> </w:t>
      </w:r>
      <w:r w:rsidR="00F35D28">
        <w:rPr>
          <w:rFonts w:ascii="Arial" w:hAnsi="Arial" w:cs="Arial"/>
          <w:b/>
        </w:rPr>
        <w:t xml:space="preserve">LCAP - </w:t>
      </w:r>
      <w:r w:rsidRPr="00F35D28">
        <w:rPr>
          <w:rFonts w:ascii="Arial" w:hAnsi="Arial" w:cs="Arial"/>
        </w:rPr>
        <w:t>Parents and teachers really need to get proactive and tell district what students need</w:t>
      </w:r>
      <w:r w:rsidR="00F35D28" w:rsidRPr="00F35D28">
        <w:rPr>
          <w:rFonts w:ascii="Arial" w:hAnsi="Arial" w:cs="Arial"/>
        </w:rPr>
        <w:t xml:space="preserve"> in order to be more successful</w:t>
      </w:r>
    </w:p>
    <w:p w:rsidR="00E033FA" w:rsidRPr="00E033FA" w:rsidRDefault="00E033FA" w:rsidP="00F35D28">
      <w:pPr>
        <w:pStyle w:val="Body1"/>
        <w:ind w:left="720" w:hanging="720"/>
        <w:rPr>
          <w:rFonts w:ascii="Arial" w:hAnsi="Arial" w:cs="Arial"/>
          <w:b/>
        </w:rPr>
      </w:pPr>
      <w:r w:rsidRPr="00E033FA">
        <w:rPr>
          <w:rFonts w:ascii="Arial" w:hAnsi="Arial" w:cs="Arial"/>
          <w:b/>
        </w:rPr>
        <w:t xml:space="preserve">Policy </w:t>
      </w:r>
      <w:r w:rsidR="00F35D28">
        <w:rPr>
          <w:rFonts w:ascii="Arial" w:hAnsi="Arial" w:cs="Arial"/>
          <w:b/>
        </w:rPr>
        <w:t>sub-</w:t>
      </w:r>
      <w:r w:rsidRPr="00E033FA">
        <w:rPr>
          <w:rFonts w:ascii="Arial" w:hAnsi="Arial" w:cs="Arial"/>
          <w:b/>
        </w:rPr>
        <w:t>committee</w:t>
      </w:r>
      <w:r w:rsidR="00F35D28">
        <w:rPr>
          <w:rFonts w:ascii="Arial" w:hAnsi="Arial" w:cs="Arial"/>
          <w:b/>
        </w:rPr>
        <w:t xml:space="preserve"> </w:t>
      </w:r>
      <w:r w:rsidRPr="00F35D28">
        <w:rPr>
          <w:rFonts w:ascii="Arial" w:hAnsi="Arial" w:cs="Arial"/>
        </w:rPr>
        <w:t>-</w:t>
      </w:r>
      <w:r w:rsidR="00F35D28" w:rsidRPr="00F35D28">
        <w:rPr>
          <w:rFonts w:ascii="Arial" w:hAnsi="Arial" w:cs="Arial"/>
        </w:rPr>
        <w:t xml:space="preserve"> i</w:t>
      </w:r>
      <w:r w:rsidRPr="00F35D28">
        <w:rPr>
          <w:rFonts w:ascii="Arial" w:hAnsi="Arial" w:cs="Arial"/>
        </w:rPr>
        <w:t>s working on moving all relevant polic</w:t>
      </w:r>
      <w:r w:rsidR="00F35D28">
        <w:rPr>
          <w:rFonts w:ascii="Arial" w:hAnsi="Arial" w:cs="Arial"/>
        </w:rPr>
        <w:t xml:space="preserve">y in CTA handbook to a </w:t>
      </w:r>
      <w:proofErr w:type="spellStart"/>
      <w:r w:rsidR="00F35D28">
        <w:rPr>
          <w:rFonts w:ascii="Arial" w:hAnsi="Arial" w:cs="Arial"/>
        </w:rPr>
        <w:t>separate</w:t>
      </w:r>
      <w:r w:rsidRPr="00F35D28">
        <w:rPr>
          <w:rFonts w:ascii="Arial" w:hAnsi="Arial" w:cs="Arial"/>
        </w:rPr>
        <w:t>section</w:t>
      </w:r>
      <w:proofErr w:type="spellEnd"/>
      <w:r w:rsidRPr="00F35D28">
        <w:rPr>
          <w:rFonts w:ascii="Arial" w:hAnsi="Arial" w:cs="Arial"/>
        </w:rPr>
        <w:t xml:space="preserve"> specifically for language acquisition</w:t>
      </w:r>
      <w:r w:rsidR="00F35D28">
        <w:rPr>
          <w:rFonts w:ascii="Arial" w:hAnsi="Arial" w:cs="Arial"/>
          <w:b/>
        </w:rPr>
        <w:t>.  (</w:t>
      </w:r>
      <w:r w:rsidRPr="00F35D28">
        <w:rPr>
          <w:rFonts w:ascii="Arial" w:hAnsi="Arial" w:cs="Arial"/>
        </w:rPr>
        <w:t>I talked with the policy chair about progress made on changing CTA policy to say that dual immersion is good for students in and of itself, rather than the current policy which states that dual immersion is a way for Eng</w:t>
      </w:r>
      <w:r w:rsidR="00F35D28">
        <w:rPr>
          <w:rFonts w:ascii="Arial" w:hAnsi="Arial" w:cs="Arial"/>
        </w:rPr>
        <w:t>lish Learners to learn English)</w:t>
      </w:r>
    </w:p>
    <w:p w:rsidR="00E033FA" w:rsidRPr="00E033FA" w:rsidRDefault="00E033FA" w:rsidP="00E033FA">
      <w:pPr>
        <w:pStyle w:val="Body1"/>
        <w:rPr>
          <w:rFonts w:ascii="Arial" w:hAnsi="Arial" w:cs="Arial"/>
          <w:b/>
        </w:rPr>
      </w:pPr>
      <w:r w:rsidRPr="00E033FA">
        <w:rPr>
          <w:rFonts w:ascii="Arial" w:hAnsi="Arial" w:cs="Arial"/>
          <w:b/>
        </w:rPr>
        <w:t>New Guidelines for reclassification of English Learners</w:t>
      </w:r>
    </w:p>
    <w:p w:rsidR="00E033FA" w:rsidRPr="00E033FA" w:rsidRDefault="00DA5D37" w:rsidP="00E033FA">
      <w:pPr>
        <w:pStyle w:val="Body1"/>
        <w:rPr>
          <w:rFonts w:ascii="Arial" w:hAnsi="Arial" w:cs="Arial"/>
          <w:b/>
        </w:rPr>
      </w:pPr>
      <w:r>
        <w:rPr>
          <w:rFonts w:ascii="Arial" w:hAnsi="Arial" w:cs="Arial"/>
          <w:b/>
        </w:rPr>
        <w:t xml:space="preserve">- </w:t>
      </w:r>
      <w:proofErr w:type="gramStart"/>
      <w:r w:rsidR="00E033FA" w:rsidRPr="00DA5D37">
        <w:rPr>
          <w:rFonts w:ascii="Arial" w:hAnsi="Arial" w:cs="Arial"/>
        </w:rPr>
        <w:t>possibly</w:t>
      </w:r>
      <w:proofErr w:type="gramEnd"/>
      <w:r w:rsidR="00E033FA" w:rsidRPr="00DA5D37">
        <w:rPr>
          <w:rFonts w:ascii="Arial" w:hAnsi="Arial" w:cs="Arial"/>
        </w:rPr>
        <w:t xml:space="preserve"> invite someone from CABE to discuss them next time</w:t>
      </w:r>
    </w:p>
    <w:p w:rsidR="00E033FA" w:rsidRPr="00E033FA" w:rsidRDefault="00DA5D37" w:rsidP="00E033FA">
      <w:pPr>
        <w:pStyle w:val="Body1"/>
        <w:rPr>
          <w:rFonts w:ascii="Arial" w:hAnsi="Arial" w:cs="Arial"/>
          <w:b/>
        </w:rPr>
      </w:pPr>
      <w:r>
        <w:rPr>
          <w:rFonts w:ascii="Arial" w:hAnsi="Arial" w:cs="Arial"/>
          <w:b/>
        </w:rPr>
        <w:t xml:space="preserve">- </w:t>
      </w:r>
      <w:r w:rsidR="00E033FA" w:rsidRPr="00DA5D37">
        <w:rPr>
          <w:rFonts w:ascii="Arial" w:hAnsi="Arial" w:cs="Arial"/>
        </w:rPr>
        <w:t xml:space="preserve">need to remember spec </w:t>
      </w:r>
      <w:proofErr w:type="spellStart"/>
      <w:proofErr w:type="gramStart"/>
      <w:r w:rsidR="00E033FA" w:rsidRPr="00DA5D37">
        <w:rPr>
          <w:rFonts w:ascii="Arial" w:hAnsi="Arial" w:cs="Arial"/>
        </w:rPr>
        <w:t>ed</w:t>
      </w:r>
      <w:proofErr w:type="spellEnd"/>
      <w:proofErr w:type="gramEnd"/>
      <w:r w:rsidR="00E033FA" w:rsidRPr="00DA5D37">
        <w:rPr>
          <w:rFonts w:ascii="Arial" w:hAnsi="Arial" w:cs="Arial"/>
        </w:rPr>
        <w:t xml:space="preserve"> when thinking about reclassification-special </w:t>
      </w:r>
      <w:proofErr w:type="spellStart"/>
      <w:r w:rsidR="00E033FA" w:rsidRPr="00DA5D37">
        <w:rPr>
          <w:rFonts w:ascii="Arial" w:hAnsi="Arial" w:cs="Arial"/>
        </w:rPr>
        <w:t>ed</w:t>
      </w:r>
      <w:proofErr w:type="spellEnd"/>
      <w:r w:rsidR="00E033FA" w:rsidRPr="00DA5D37">
        <w:rPr>
          <w:rFonts w:ascii="Arial" w:hAnsi="Arial" w:cs="Arial"/>
        </w:rPr>
        <w:t xml:space="preserve"> tends to get stuck at level 3</w:t>
      </w:r>
      <w:r w:rsidR="00E033FA" w:rsidRPr="00E033FA">
        <w:rPr>
          <w:rFonts w:ascii="Arial" w:hAnsi="Arial" w:cs="Arial"/>
          <w:b/>
        </w:rPr>
        <w:t xml:space="preserve"> </w:t>
      </w:r>
    </w:p>
    <w:p w:rsidR="00DA5D37" w:rsidRDefault="00DA5D37" w:rsidP="00E033FA">
      <w:pPr>
        <w:pStyle w:val="Body1"/>
        <w:rPr>
          <w:rFonts w:ascii="Arial" w:hAnsi="Arial" w:cs="Arial"/>
          <w:b/>
        </w:rPr>
      </w:pPr>
      <w:r>
        <w:rPr>
          <w:rFonts w:ascii="Arial" w:hAnsi="Arial" w:cs="Arial"/>
          <w:b/>
        </w:rPr>
        <w:t>New ELD standards</w:t>
      </w:r>
    </w:p>
    <w:p w:rsidR="00E033FA" w:rsidRPr="00DA5D37" w:rsidRDefault="00E033FA" w:rsidP="00E033FA">
      <w:pPr>
        <w:pStyle w:val="Body1"/>
        <w:rPr>
          <w:rFonts w:ascii="Arial" w:hAnsi="Arial" w:cs="Arial"/>
        </w:rPr>
      </w:pPr>
      <w:r w:rsidRPr="00DA5D37">
        <w:rPr>
          <w:rFonts w:ascii="Arial" w:hAnsi="Arial" w:cs="Arial"/>
        </w:rPr>
        <w:t>Proficiency level descriptors have changed.  Now there will be only 3 levels. (</w:t>
      </w:r>
      <w:proofErr w:type="gramStart"/>
      <w:r w:rsidRPr="00DA5D37">
        <w:rPr>
          <w:rFonts w:ascii="Arial" w:hAnsi="Arial" w:cs="Arial"/>
        </w:rPr>
        <w:t>emerging</w:t>
      </w:r>
      <w:proofErr w:type="gramEnd"/>
      <w:r w:rsidRPr="00DA5D37">
        <w:rPr>
          <w:rFonts w:ascii="Arial" w:hAnsi="Arial" w:cs="Arial"/>
        </w:rPr>
        <w:t>, expanding, bridging)</w:t>
      </w:r>
    </w:p>
    <w:p w:rsidR="00E033FA" w:rsidRPr="00DA5D37" w:rsidRDefault="00DA5D37" w:rsidP="00E033FA">
      <w:pPr>
        <w:pStyle w:val="Body1"/>
        <w:rPr>
          <w:rFonts w:ascii="Arial" w:hAnsi="Arial" w:cs="Arial"/>
        </w:rPr>
      </w:pPr>
      <w:r>
        <w:rPr>
          <w:rFonts w:ascii="Arial" w:hAnsi="Arial" w:cs="Arial"/>
          <w:b/>
        </w:rPr>
        <w:t xml:space="preserve">- </w:t>
      </w:r>
      <w:r w:rsidR="00E033FA" w:rsidRPr="00DA5D37">
        <w:rPr>
          <w:rFonts w:ascii="Arial" w:hAnsi="Arial" w:cs="Arial"/>
        </w:rPr>
        <w:t xml:space="preserve">Need to bring back concerns about the smarter balance tests with regards to EL's </w:t>
      </w:r>
    </w:p>
    <w:p w:rsidR="00E033FA" w:rsidRPr="00E033FA" w:rsidRDefault="00E033FA" w:rsidP="00E033FA">
      <w:pPr>
        <w:pStyle w:val="Body1"/>
        <w:rPr>
          <w:rFonts w:ascii="Arial" w:hAnsi="Arial" w:cs="Arial"/>
          <w:b/>
        </w:rPr>
      </w:pPr>
      <w:r w:rsidRPr="00E033FA">
        <w:rPr>
          <w:rFonts w:ascii="Arial" w:hAnsi="Arial" w:cs="Arial"/>
          <w:b/>
        </w:rPr>
        <w:t>Will validity of these tests be challenged if there is a big gap between affluent and poverty students?</w:t>
      </w:r>
    </w:p>
    <w:p w:rsidR="00E033FA" w:rsidRPr="00E033FA" w:rsidRDefault="00E0220B" w:rsidP="00E033FA">
      <w:pPr>
        <w:pStyle w:val="Body1"/>
        <w:rPr>
          <w:rFonts w:ascii="Arial" w:hAnsi="Arial" w:cs="Arial"/>
          <w:b/>
        </w:rPr>
      </w:pPr>
      <w:r>
        <w:rPr>
          <w:rFonts w:ascii="Arial" w:hAnsi="Arial" w:cs="Arial"/>
          <w:b/>
        </w:rPr>
        <w:t xml:space="preserve">- </w:t>
      </w:r>
      <w:proofErr w:type="gramStart"/>
      <w:r w:rsidR="00DA5D37" w:rsidRPr="00E0220B">
        <w:rPr>
          <w:rFonts w:ascii="Arial" w:hAnsi="Arial" w:cs="Arial"/>
        </w:rPr>
        <w:t>text</w:t>
      </w:r>
      <w:proofErr w:type="gramEnd"/>
      <w:r w:rsidR="00DA5D37" w:rsidRPr="00E0220B">
        <w:rPr>
          <w:rFonts w:ascii="Arial" w:hAnsi="Arial" w:cs="Arial"/>
        </w:rPr>
        <w:t xml:space="preserve"> complexity</w:t>
      </w:r>
    </w:p>
    <w:p w:rsidR="00E033FA" w:rsidRPr="00E033FA" w:rsidRDefault="00E0220B" w:rsidP="00E033FA">
      <w:pPr>
        <w:pStyle w:val="Body1"/>
        <w:rPr>
          <w:rFonts w:ascii="Arial" w:hAnsi="Arial" w:cs="Arial"/>
          <w:b/>
        </w:rPr>
      </w:pPr>
      <w:r>
        <w:rPr>
          <w:rFonts w:ascii="Arial" w:hAnsi="Arial" w:cs="Arial"/>
          <w:b/>
        </w:rPr>
        <w:t xml:space="preserve">- </w:t>
      </w:r>
      <w:proofErr w:type="gramStart"/>
      <w:r w:rsidR="00E033FA" w:rsidRPr="00E0220B">
        <w:rPr>
          <w:rFonts w:ascii="Arial" w:hAnsi="Arial" w:cs="Arial"/>
        </w:rPr>
        <w:t>student</w:t>
      </w:r>
      <w:proofErr w:type="gramEnd"/>
      <w:r w:rsidR="00E033FA" w:rsidRPr="00E0220B">
        <w:rPr>
          <w:rFonts w:ascii="Arial" w:hAnsi="Arial" w:cs="Arial"/>
        </w:rPr>
        <w:t xml:space="preserve"> responses</w:t>
      </w:r>
    </w:p>
    <w:p w:rsidR="00E033FA" w:rsidRPr="00E033FA" w:rsidRDefault="00E0220B" w:rsidP="00E033FA">
      <w:pPr>
        <w:pStyle w:val="Body1"/>
        <w:rPr>
          <w:rFonts w:ascii="Arial" w:hAnsi="Arial" w:cs="Arial"/>
          <w:b/>
        </w:rPr>
      </w:pPr>
      <w:r>
        <w:rPr>
          <w:rFonts w:ascii="Arial" w:hAnsi="Arial" w:cs="Arial"/>
          <w:b/>
        </w:rPr>
        <w:t xml:space="preserve">- </w:t>
      </w:r>
      <w:proofErr w:type="gramStart"/>
      <w:r w:rsidR="00E033FA" w:rsidRPr="00E0220B">
        <w:rPr>
          <w:rFonts w:ascii="Arial" w:hAnsi="Arial" w:cs="Arial"/>
        </w:rPr>
        <w:t>students</w:t>
      </w:r>
      <w:proofErr w:type="gramEnd"/>
      <w:r w:rsidR="00E033FA" w:rsidRPr="00E0220B">
        <w:rPr>
          <w:rFonts w:ascii="Arial" w:hAnsi="Arial" w:cs="Arial"/>
        </w:rPr>
        <w:t xml:space="preserve"> will be very frustrated.  Will this test make them feel worse and more hopeless?</w:t>
      </w:r>
    </w:p>
    <w:p w:rsidR="00E0220B" w:rsidRDefault="00E033FA" w:rsidP="00E033FA">
      <w:pPr>
        <w:pStyle w:val="Body1"/>
        <w:rPr>
          <w:rFonts w:ascii="Arial" w:hAnsi="Arial" w:cs="Arial"/>
          <w:b/>
        </w:rPr>
      </w:pPr>
      <w:r w:rsidRPr="00E033FA">
        <w:rPr>
          <w:rFonts w:ascii="Arial" w:hAnsi="Arial" w:cs="Arial"/>
          <w:b/>
        </w:rPr>
        <w:t>Project 2 inspire from CABE</w:t>
      </w:r>
    </w:p>
    <w:p w:rsidR="00E033FA" w:rsidRPr="00E0220B" w:rsidRDefault="00E033FA" w:rsidP="00E033FA">
      <w:pPr>
        <w:pStyle w:val="Body1"/>
        <w:rPr>
          <w:rFonts w:ascii="Arial" w:hAnsi="Arial" w:cs="Arial"/>
        </w:rPr>
      </w:pPr>
      <w:r w:rsidRPr="00E033FA">
        <w:rPr>
          <w:rFonts w:ascii="Arial" w:hAnsi="Arial" w:cs="Arial"/>
          <w:b/>
        </w:rPr>
        <w:t xml:space="preserve">- </w:t>
      </w:r>
      <w:r w:rsidRPr="00E0220B">
        <w:rPr>
          <w:rFonts w:ascii="Arial" w:hAnsi="Arial" w:cs="Arial"/>
        </w:rPr>
        <w:t xml:space="preserve">Parent </w:t>
      </w:r>
      <w:proofErr w:type="gramStart"/>
      <w:r w:rsidRPr="00E0220B">
        <w:rPr>
          <w:rFonts w:ascii="Arial" w:hAnsi="Arial" w:cs="Arial"/>
        </w:rPr>
        <w:t>education ,</w:t>
      </w:r>
      <w:proofErr w:type="gramEnd"/>
      <w:r w:rsidRPr="00E0220B">
        <w:rPr>
          <w:rFonts w:ascii="Arial" w:hAnsi="Arial" w:cs="Arial"/>
        </w:rPr>
        <w:t xml:space="preserve"> cheap, very successful, parents get trained,  and they train other parents.  There was a middle school that went from a few parents on a committee to 70 parents</w:t>
      </w:r>
    </w:p>
    <w:p w:rsidR="00E033FA" w:rsidRPr="00E0220B" w:rsidRDefault="00E0220B" w:rsidP="00E033FA">
      <w:pPr>
        <w:pStyle w:val="Body1"/>
        <w:rPr>
          <w:rFonts w:ascii="Arial" w:hAnsi="Arial" w:cs="Arial"/>
        </w:rPr>
      </w:pPr>
      <w:r>
        <w:rPr>
          <w:rFonts w:ascii="Arial" w:hAnsi="Arial" w:cs="Arial"/>
        </w:rPr>
        <w:t xml:space="preserve">- </w:t>
      </w:r>
      <w:r w:rsidR="00E033FA" w:rsidRPr="00E0220B">
        <w:rPr>
          <w:rFonts w:ascii="Arial" w:hAnsi="Arial" w:cs="Arial"/>
        </w:rPr>
        <w:t xml:space="preserve">$600 to train a group of parents, IFT grants </w:t>
      </w:r>
      <w:proofErr w:type="gramStart"/>
      <w:r w:rsidR="00E033FA" w:rsidRPr="00E0220B">
        <w:rPr>
          <w:rFonts w:ascii="Arial" w:hAnsi="Arial" w:cs="Arial"/>
        </w:rPr>
        <w:t>are</w:t>
      </w:r>
      <w:proofErr w:type="gramEnd"/>
      <w:r w:rsidR="00E033FA" w:rsidRPr="00E0220B">
        <w:rPr>
          <w:rFonts w:ascii="Arial" w:hAnsi="Arial" w:cs="Arial"/>
        </w:rPr>
        <w:t xml:space="preserve"> available from CTA</w:t>
      </w:r>
    </w:p>
    <w:p w:rsidR="00E0220B" w:rsidRPr="00E0220B" w:rsidRDefault="00E033FA" w:rsidP="00E033FA">
      <w:pPr>
        <w:pStyle w:val="Body1"/>
        <w:rPr>
          <w:rFonts w:ascii="Arial" w:hAnsi="Arial" w:cs="Arial"/>
          <w:b/>
        </w:rPr>
      </w:pPr>
      <w:r w:rsidRPr="00E0220B">
        <w:rPr>
          <w:rFonts w:ascii="Arial" w:hAnsi="Arial" w:cs="Arial"/>
          <w:b/>
        </w:rPr>
        <w:t xml:space="preserve">They want more input for </w:t>
      </w:r>
      <w:r w:rsidR="00E0220B">
        <w:rPr>
          <w:rFonts w:ascii="Arial" w:hAnsi="Arial" w:cs="Arial"/>
          <w:b/>
        </w:rPr>
        <w:t>the agendas for the committee</w:t>
      </w:r>
    </w:p>
    <w:p w:rsidR="00C53EB1" w:rsidRPr="00E0220B" w:rsidRDefault="00E0220B" w:rsidP="00E0220B">
      <w:pPr>
        <w:pStyle w:val="Body1"/>
        <w:rPr>
          <w:rFonts w:ascii="Arial" w:hAnsi="Arial" w:cs="Arial"/>
        </w:rPr>
      </w:pPr>
      <w:r w:rsidRPr="00E0220B">
        <w:rPr>
          <w:rFonts w:ascii="Arial" w:hAnsi="Arial" w:cs="Arial"/>
        </w:rPr>
        <w:t>-</w:t>
      </w:r>
      <w:r>
        <w:rPr>
          <w:rFonts w:ascii="Arial" w:hAnsi="Arial" w:cs="Arial"/>
        </w:rPr>
        <w:t xml:space="preserve"> </w:t>
      </w:r>
      <w:r w:rsidR="00E033FA" w:rsidRPr="00E0220B">
        <w:rPr>
          <w:rFonts w:ascii="Arial" w:hAnsi="Arial" w:cs="Arial"/>
        </w:rPr>
        <w:t xml:space="preserve">Email Nancy, </w:t>
      </w:r>
      <w:proofErr w:type="spellStart"/>
      <w:r w:rsidR="00E033FA" w:rsidRPr="00E0220B">
        <w:rPr>
          <w:rFonts w:ascii="Arial" w:hAnsi="Arial" w:cs="Arial"/>
        </w:rPr>
        <w:t>Tomás</w:t>
      </w:r>
      <w:proofErr w:type="spellEnd"/>
      <w:r w:rsidR="00E033FA" w:rsidRPr="00E0220B">
        <w:rPr>
          <w:rFonts w:ascii="Arial" w:hAnsi="Arial" w:cs="Arial"/>
        </w:rPr>
        <w:t>, or other leaders for and concerns or things we need to address in committee</w:t>
      </w:r>
    </w:p>
    <w:p w:rsidR="00861E1B" w:rsidRDefault="00861E1B" w:rsidP="00E37281">
      <w:pPr>
        <w:pStyle w:val="Body1"/>
        <w:rPr>
          <w:rFonts w:ascii="Arial" w:hAnsi="Arial" w:cs="Arial"/>
        </w:rPr>
      </w:pPr>
    </w:p>
    <w:p w:rsidR="002E31CE" w:rsidRPr="002E31CE" w:rsidRDefault="002E31CE" w:rsidP="002E31CE">
      <w:pPr>
        <w:pStyle w:val="Body1"/>
        <w:rPr>
          <w:rFonts w:ascii="Arial" w:hAnsi="Arial" w:cs="Arial"/>
          <w:b/>
        </w:rPr>
      </w:pPr>
      <w:r w:rsidRPr="002E31CE">
        <w:rPr>
          <w:rFonts w:ascii="Arial" w:hAnsi="Arial" w:cs="Arial"/>
          <w:b/>
        </w:rPr>
        <w:lastRenderedPageBreak/>
        <w:t>SCHOOL SAFE</w:t>
      </w:r>
      <w:r>
        <w:rPr>
          <w:rFonts w:ascii="Arial" w:hAnsi="Arial" w:cs="Arial"/>
          <w:b/>
        </w:rPr>
        <w:t xml:space="preserve">TY/SCHOOL MANAGEMENT COMMITTEE </w:t>
      </w:r>
    </w:p>
    <w:p w:rsidR="002E31CE" w:rsidRPr="002E31CE" w:rsidRDefault="002E31CE" w:rsidP="002E31CE">
      <w:pPr>
        <w:pStyle w:val="Body1"/>
        <w:rPr>
          <w:rFonts w:ascii="Arial" w:hAnsi="Arial" w:cs="Arial"/>
          <w:b/>
        </w:rPr>
      </w:pPr>
      <w:r>
        <w:rPr>
          <w:rFonts w:ascii="Arial" w:hAnsi="Arial" w:cs="Arial"/>
          <w:b/>
        </w:rPr>
        <w:t xml:space="preserve">MAJOR POLICY – First Reading </w:t>
      </w:r>
    </w:p>
    <w:p w:rsidR="002E31CE" w:rsidRPr="002E31CE" w:rsidRDefault="002E31CE" w:rsidP="002E31CE">
      <w:pPr>
        <w:pStyle w:val="Body1"/>
        <w:rPr>
          <w:rFonts w:ascii="Arial" w:hAnsi="Arial" w:cs="Arial"/>
          <w:b/>
        </w:rPr>
      </w:pPr>
      <w:r w:rsidRPr="002E31CE">
        <w:rPr>
          <w:rFonts w:ascii="Arial" w:hAnsi="Arial" w:cs="Arial"/>
          <w:b/>
        </w:rPr>
        <w:t>To be located on page 2</w:t>
      </w:r>
      <w:r>
        <w:rPr>
          <w:rFonts w:ascii="Arial" w:hAnsi="Arial" w:cs="Arial"/>
          <w:b/>
        </w:rPr>
        <w:t xml:space="preserve">85 under Universal Health Care </w:t>
      </w:r>
    </w:p>
    <w:p w:rsidR="002E31CE" w:rsidRPr="002E31CE" w:rsidRDefault="002E31CE" w:rsidP="002E31CE">
      <w:pPr>
        <w:pStyle w:val="Body1"/>
        <w:rPr>
          <w:rFonts w:ascii="Arial" w:hAnsi="Arial" w:cs="Arial"/>
          <w:b/>
        </w:rPr>
      </w:pPr>
      <w:r w:rsidRPr="002E31CE">
        <w:rPr>
          <w:rFonts w:ascii="Arial" w:hAnsi="Arial" w:cs="Arial"/>
          <w:b/>
        </w:rPr>
        <w:t xml:space="preserve">Vendor Access </w:t>
      </w:r>
    </w:p>
    <w:p w:rsidR="002E31CE" w:rsidRPr="00DA5D37" w:rsidRDefault="002E31CE" w:rsidP="002E31CE">
      <w:pPr>
        <w:pStyle w:val="Body1"/>
        <w:rPr>
          <w:rFonts w:ascii="Arial" w:hAnsi="Arial" w:cs="Arial"/>
        </w:rPr>
      </w:pPr>
      <w:r w:rsidRPr="00DA5D37">
        <w:rPr>
          <w:rFonts w:ascii="Arial" w:hAnsi="Arial" w:cs="Arial"/>
        </w:rPr>
        <w:t xml:space="preserve">CTA believes, in order to support the safety of school personnel and students, vendors present at K-12 schools during contractual hours should be district-vetted or CTA approved. </w:t>
      </w:r>
    </w:p>
    <w:p w:rsidR="002E31CE" w:rsidRPr="002E31CE" w:rsidRDefault="002E31CE" w:rsidP="002E31CE">
      <w:pPr>
        <w:pStyle w:val="Body1"/>
        <w:rPr>
          <w:rFonts w:ascii="Arial" w:hAnsi="Arial" w:cs="Arial"/>
          <w:b/>
        </w:rPr>
      </w:pPr>
      <w:r w:rsidRPr="002E31CE">
        <w:rPr>
          <w:rFonts w:ascii="Arial" w:hAnsi="Arial" w:cs="Arial"/>
          <w:b/>
        </w:rPr>
        <w:t xml:space="preserve">Rationale: </w:t>
      </w:r>
      <w:r w:rsidRPr="00DA5D37">
        <w:rPr>
          <w:rFonts w:ascii="Arial" w:hAnsi="Arial" w:cs="Arial"/>
        </w:rPr>
        <w:t>Allowing school site access to individuals and businesses that have not been through any screening process creates potential safety concerns for both students and school employees.</w:t>
      </w:r>
      <w:r w:rsidRPr="002E31CE">
        <w:rPr>
          <w:rFonts w:ascii="Arial" w:hAnsi="Arial" w:cs="Arial"/>
          <w:b/>
        </w:rPr>
        <w:t xml:space="preserve"> </w:t>
      </w:r>
    </w:p>
    <w:p w:rsidR="00D83B86" w:rsidRDefault="00D83B86" w:rsidP="002E31CE">
      <w:pPr>
        <w:pStyle w:val="Body1"/>
        <w:rPr>
          <w:rFonts w:ascii="Arial" w:hAnsi="Arial" w:cs="Arial"/>
          <w:b/>
        </w:rPr>
      </w:pPr>
    </w:p>
    <w:p w:rsidR="002E31CE" w:rsidRPr="002E31CE" w:rsidRDefault="002E31CE" w:rsidP="002E31CE">
      <w:pPr>
        <w:pStyle w:val="Body1"/>
        <w:rPr>
          <w:rFonts w:ascii="Arial" w:hAnsi="Arial" w:cs="Arial"/>
          <w:b/>
        </w:rPr>
      </w:pPr>
      <w:r w:rsidRPr="002E31CE">
        <w:rPr>
          <w:rFonts w:ascii="Arial" w:hAnsi="Arial" w:cs="Arial"/>
          <w:b/>
        </w:rPr>
        <w:t>CREDENTIALS AND PROF</w:t>
      </w:r>
      <w:r>
        <w:rPr>
          <w:rFonts w:ascii="Arial" w:hAnsi="Arial" w:cs="Arial"/>
          <w:b/>
        </w:rPr>
        <w:t xml:space="preserve">ESSIONAL DEVELOPMENT COMMITTEE </w:t>
      </w:r>
    </w:p>
    <w:p w:rsidR="002E31CE" w:rsidRPr="002E31CE" w:rsidRDefault="002E31CE" w:rsidP="002E31CE">
      <w:pPr>
        <w:pStyle w:val="Body1"/>
        <w:rPr>
          <w:rFonts w:ascii="Arial" w:hAnsi="Arial" w:cs="Arial"/>
          <w:b/>
        </w:rPr>
      </w:pPr>
      <w:r w:rsidRPr="002E31CE">
        <w:rPr>
          <w:rFonts w:ascii="Arial" w:hAnsi="Arial" w:cs="Arial"/>
          <w:b/>
        </w:rPr>
        <w:t xml:space="preserve">MAJOR POLICY – First Reading </w:t>
      </w:r>
    </w:p>
    <w:p w:rsidR="002E31CE" w:rsidRPr="002E31CE" w:rsidRDefault="002E31CE" w:rsidP="002E31CE">
      <w:pPr>
        <w:pStyle w:val="Body1"/>
        <w:rPr>
          <w:rFonts w:ascii="Arial" w:hAnsi="Arial" w:cs="Arial"/>
          <w:b/>
        </w:rPr>
      </w:pPr>
      <w:r w:rsidRPr="002E31CE">
        <w:rPr>
          <w:rFonts w:ascii="Arial" w:hAnsi="Arial" w:cs="Arial"/>
          <w:b/>
        </w:rPr>
        <w:t xml:space="preserve">Page 255: Independent Credentialing Boards </w:t>
      </w:r>
    </w:p>
    <w:p w:rsidR="002E31CE" w:rsidRPr="002E31CE" w:rsidRDefault="002E31CE" w:rsidP="002E31CE">
      <w:pPr>
        <w:pStyle w:val="Body1"/>
        <w:rPr>
          <w:rFonts w:ascii="Arial" w:hAnsi="Arial" w:cs="Arial"/>
          <w:b/>
        </w:rPr>
      </w:pPr>
      <w:r w:rsidRPr="002E31CE">
        <w:rPr>
          <w:rFonts w:ascii="Arial" w:hAnsi="Arial" w:cs="Arial"/>
          <w:b/>
        </w:rPr>
        <w:t xml:space="preserve"> </w:t>
      </w:r>
    </w:p>
    <w:p w:rsidR="002E31CE" w:rsidRPr="002E31CE" w:rsidRDefault="002E31CE" w:rsidP="002E31CE">
      <w:pPr>
        <w:pStyle w:val="Body1"/>
        <w:rPr>
          <w:rFonts w:ascii="Arial" w:hAnsi="Arial" w:cs="Arial"/>
          <w:b/>
        </w:rPr>
      </w:pPr>
      <w:r w:rsidRPr="002E31CE">
        <w:rPr>
          <w:rFonts w:ascii="Arial" w:hAnsi="Arial" w:cs="Arial"/>
          <w:b/>
        </w:rPr>
        <w:t xml:space="preserve">A. CTA </w:t>
      </w:r>
      <w:r w:rsidRPr="00DA5D37">
        <w:rPr>
          <w:rFonts w:ascii="Arial" w:hAnsi="Arial" w:cs="Arial"/>
        </w:rPr>
        <w:t>believes an independent credentialing board should be an autonomous organization, and not advisory to any other body. This independent credentialing board shall be composed of no more than the current number of members (19) with a majority of classroom teachers with representation from: elementary teachers, secondary teachers; higher education faculty with teaching duties from teacher preparation programs; special education; one holder of any permit or credential issued by an independent credentialing board or its predecessor other than the teaching credential or services credential with a specialization in administrative services; and, at least one student member.</w:t>
      </w:r>
      <w:r w:rsidRPr="002E31CE">
        <w:rPr>
          <w:rFonts w:ascii="Arial" w:hAnsi="Arial" w:cs="Arial"/>
          <w:b/>
        </w:rPr>
        <w:t xml:space="preserve"> </w:t>
      </w:r>
    </w:p>
    <w:p w:rsidR="00D83B86" w:rsidRDefault="002E31CE">
      <w:pPr>
        <w:pStyle w:val="Body1"/>
        <w:rPr>
          <w:rFonts w:ascii="Arial" w:hAnsi="Arial" w:cs="Arial"/>
          <w:b/>
        </w:rPr>
      </w:pPr>
      <w:r>
        <w:rPr>
          <w:rFonts w:ascii="Arial" w:hAnsi="Arial" w:cs="Arial"/>
          <w:b/>
        </w:rPr>
        <w:t xml:space="preserve"> </w:t>
      </w:r>
    </w:p>
    <w:p w:rsidR="00090167" w:rsidRPr="00090167" w:rsidRDefault="00090167" w:rsidP="00090167">
      <w:pPr>
        <w:pStyle w:val="Body1"/>
        <w:rPr>
          <w:rFonts w:ascii="Arial" w:hAnsi="Arial" w:cs="Arial"/>
          <w:b/>
        </w:rPr>
      </w:pPr>
      <w:r w:rsidRPr="00090167">
        <w:rPr>
          <w:rFonts w:ascii="Arial" w:hAnsi="Arial" w:cs="Arial"/>
          <w:b/>
        </w:rPr>
        <w:t xml:space="preserve">FINANCING PUBLIC EDUCATION COMMITTEE </w:t>
      </w:r>
    </w:p>
    <w:p w:rsidR="00090167" w:rsidRPr="00090167" w:rsidRDefault="00090167" w:rsidP="00090167">
      <w:pPr>
        <w:pStyle w:val="Body1"/>
        <w:rPr>
          <w:rFonts w:ascii="Arial" w:hAnsi="Arial" w:cs="Arial"/>
          <w:b/>
        </w:rPr>
      </w:pPr>
      <w:r>
        <w:rPr>
          <w:rFonts w:ascii="Arial" w:hAnsi="Arial" w:cs="Arial"/>
          <w:b/>
        </w:rPr>
        <w:t xml:space="preserve"> </w:t>
      </w:r>
      <w:r w:rsidRPr="00090167">
        <w:rPr>
          <w:rFonts w:ascii="Arial" w:hAnsi="Arial" w:cs="Arial"/>
          <w:b/>
        </w:rPr>
        <w:t xml:space="preserve">MAJOR POLICY – Immediate Action (2/3rd Vote Required) </w:t>
      </w:r>
    </w:p>
    <w:p w:rsidR="00090167" w:rsidRPr="00090167" w:rsidRDefault="00090167" w:rsidP="00090167">
      <w:pPr>
        <w:pStyle w:val="Body1"/>
        <w:rPr>
          <w:rFonts w:ascii="Arial" w:hAnsi="Arial" w:cs="Arial"/>
          <w:b/>
        </w:rPr>
      </w:pPr>
      <w:r w:rsidRPr="00090167">
        <w:rPr>
          <w:rFonts w:ascii="Arial" w:hAnsi="Arial" w:cs="Arial"/>
          <w:b/>
        </w:rPr>
        <w:t xml:space="preserve">A. Adoption of the 2014-2015 State Budget Principles </w:t>
      </w:r>
    </w:p>
    <w:p w:rsidR="00090167" w:rsidRPr="00090167" w:rsidRDefault="00090167" w:rsidP="00090167">
      <w:pPr>
        <w:pStyle w:val="Body1"/>
        <w:rPr>
          <w:rFonts w:ascii="Arial" w:hAnsi="Arial" w:cs="Arial"/>
          <w:b/>
        </w:rPr>
      </w:pPr>
      <w:r w:rsidRPr="00090167">
        <w:rPr>
          <w:rFonts w:ascii="Arial" w:hAnsi="Arial" w:cs="Arial"/>
          <w:b/>
        </w:rPr>
        <w:t xml:space="preserve">Rationale: </w:t>
      </w:r>
      <w:r w:rsidRPr="00DA5D37">
        <w:rPr>
          <w:rFonts w:ascii="Arial" w:hAnsi="Arial" w:cs="Arial"/>
        </w:rPr>
        <w:t>State Budget Principles are necessary to operate in the current economic, political and legislative environments.</w:t>
      </w:r>
      <w:r w:rsidRPr="00090167">
        <w:rPr>
          <w:rFonts w:ascii="Arial" w:hAnsi="Arial" w:cs="Arial"/>
          <w:b/>
        </w:rPr>
        <w:t xml:space="preserve"> </w:t>
      </w:r>
    </w:p>
    <w:p w:rsidR="00090167" w:rsidRPr="00090167" w:rsidRDefault="00090167" w:rsidP="00090167">
      <w:pPr>
        <w:pStyle w:val="Body1"/>
        <w:rPr>
          <w:rFonts w:ascii="Arial" w:hAnsi="Arial" w:cs="Arial"/>
          <w:b/>
        </w:rPr>
      </w:pPr>
      <w:r w:rsidRPr="00090167">
        <w:rPr>
          <w:rFonts w:ascii="Arial" w:hAnsi="Arial" w:cs="Arial"/>
          <w:b/>
        </w:rPr>
        <w:t xml:space="preserve">MAJOR POLICY – Second Reading </w:t>
      </w:r>
    </w:p>
    <w:p w:rsidR="00090167" w:rsidRPr="00090167" w:rsidRDefault="00090167" w:rsidP="00090167">
      <w:pPr>
        <w:pStyle w:val="Body1"/>
        <w:rPr>
          <w:rFonts w:ascii="Arial" w:hAnsi="Arial" w:cs="Arial"/>
          <w:b/>
        </w:rPr>
      </w:pPr>
      <w:r w:rsidRPr="00090167">
        <w:rPr>
          <w:rFonts w:ascii="Arial" w:hAnsi="Arial" w:cs="Arial"/>
          <w:b/>
        </w:rPr>
        <w:t xml:space="preserve">A. Foundations (page 348-349) </w:t>
      </w:r>
    </w:p>
    <w:p w:rsidR="00090167" w:rsidRPr="00DA5D37" w:rsidRDefault="00090167" w:rsidP="00090167">
      <w:pPr>
        <w:pStyle w:val="Body1"/>
        <w:rPr>
          <w:rFonts w:ascii="Arial" w:hAnsi="Arial" w:cs="Arial"/>
        </w:rPr>
      </w:pPr>
      <w:r w:rsidRPr="00DA5D37">
        <w:rPr>
          <w:rFonts w:ascii="Arial" w:hAnsi="Arial" w:cs="Arial"/>
        </w:rPr>
        <w:t xml:space="preserve">CTA believes foundations and auxiliary organizations have been and can be a significant and positive force for improving the educational climate in California K-G. Foundations should be used to support educational programs, and not as a vehicle for evasion of accountability and/or collective bargaining. </w:t>
      </w:r>
    </w:p>
    <w:p w:rsidR="00090167" w:rsidRPr="00090167" w:rsidRDefault="00090167" w:rsidP="00090167">
      <w:pPr>
        <w:pStyle w:val="Body1"/>
        <w:rPr>
          <w:rFonts w:ascii="Arial" w:hAnsi="Arial" w:cs="Arial"/>
          <w:b/>
        </w:rPr>
      </w:pPr>
      <w:r w:rsidRPr="00090167">
        <w:rPr>
          <w:rFonts w:ascii="Arial" w:hAnsi="Arial" w:cs="Arial"/>
          <w:b/>
        </w:rPr>
        <w:t xml:space="preserve">To ensure this positive effect, CTA believes: </w:t>
      </w:r>
    </w:p>
    <w:p w:rsidR="00090167" w:rsidRPr="00DA5D37" w:rsidRDefault="00090167" w:rsidP="00090167">
      <w:pPr>
        <w:pStyle w:val="Body1"/>
        <w:rPr>
          <w:rFonts w:ascii="Arial" w:hAnsi="Arial" w:cs="Arial"/>
        </w:rPr>
      </w:pPr>
      <w:r w:rsidRPr="00090167">
        <w:rPr>
          <w:rFonts w:ascii="Arial" w:hAnsi="Arial" w:cs="Arial"/>
          <w:b/>
        </w:rPr>
        <w:t xml:space="preserve">1. </w:t>
      </w:r>
      <w:r w:rsidRPr="00DA5D37">
        <w:rPr>
          <w:rFonts w:ascii="Arial" w:hAnsi="Arial" w:cs="Arial"/>
        </w:rPr>
        <w:t xml:space="preserve">Faculty must be well-represented in a voting capacity on all foundation boards and be appointed by the local bargaining agent where appropriate; </w:t>
      </w:r>
    </w:p>
    <w:p w:rsidR="00090167" w:rsidRPr="00090167" w:rsidRDefault="00090167" w:rsidP="00090167">
      <w:pPr>
        <w:pStyle w:val="Body1"/>
        <w:rPr>
          <w:rFonts w:ascii="Arial" w:hAnsi="Arial" w:cs="Arial"/>
          <w:b/>
        </w:rPr>
      </w:pPr>
      <w:r w:rsidRPr="00090167">
        <w:rPr>
          <w:rFonts w:ascii="Arial" w:hAnsi="Arial" w:cs="Arial"/>
          <w:b/>
        </w:rPr>
        <w:t xml:space="preserve">2. </w:t>
      </w:r>
      <w:r w:rsidRPr="00DA5D37">
        <w:rPr>
          <w:rFonts w:ascii="Arial" w:hAnsi="Arial" w:cs="Arial"/>
        </w:rPr>
        <w:t xml:space="preserve">Foundation meetings must be public and provide ample opportunity for public input; </w:t>
      </w:r>
    </w:p>
    <w:p w:rsidR="00090167" w:rsidRPr="00090167" w:rsidRDefault="00090167" w:rsidP="00090167">
      <w:pPr>
        <w:pStyle w:val="Body1"/>
        <w:rPr>
          <w:rFonts w:ascii="Arial" w:hAnsi="Arial" w:cs="Arial"/>
          <w:b/>
        </w:rPr>
      </w:pPr>
      <w:r w:rsidRPr="00090167">
        <w:rPr>
          <w:rFonts w:ascii="Arial" w:hAnsi="Arial" w:cs="Arial"/>
          <w:b/>
        </w:rPr>
        <w:t xml:space="preserve">3. </w:t>
      </w:r>
      <w:r w:rsidRPr="00DA5D37">
        <w:rPr>
          <w:rFonts w:ascii="Arial" w:hAnsi="Arial" w:cs="Arial"/>
        </w:rPr>
        <w:t>Any transactions involving foundation funds or in-kind contributions must be adequately recorded and reported;</w:t>
      </w:r>
      <w:r w:rsidRPr="00090167">
        <w:rPr>
          <w:rFonts w:ascii="Arial" w:hAnsi="Arial" w:cs="Arial"/>
          <w:b/>
        </w:rPr>
        <w:t xml:space="preserve"> </w:t>
      </w:r>
    </w:p>
    <w:p w:rsidR="00090167" w:rsidRPr="00090167" w:rsidRDefault="00090167" w:rsidP="00090167">
      <w:pPr>
        <w:pStyle w:val="Body1"/>
        <w:rPr>
          <w:rFonts w:ascii="Arial" w:hAnsi="Arial" w:cs="Arial"/>
          <w:b/>
        </w:rPr>
      </w:pPr>
      <w:r w:rsidRPr="00090167">
        <w:rPr>
          <w:rFonts w:ascii="Arial" w:hAnsi="Arial" w:cs="Arial"/>
          <w:b/>
        </w:rPr>
        <w:t xml:space="preserve">4. </w:t>
      </w:r>
      <w:r w:rsidRPr="00DA5D37">
        <w:rPr>
          <w:rFonts w:ascii="Arial" w:hAnsi="Arial" w:cs="Arial"/>
        </w:rPr>
        <w:t>Since the foundation is designed to supplement state funding, any support provided to the foundation by the institution either through direct or in-kind contribution, must be repaid; and,</w:t>
      </w:r>
      <w:r w:rsidRPr="00090167">
        <w:rPr>
          <w:rFonts w:ascii="Arial" w:hAnsi="Arial" w:cs="Arial"/>
          <w:b/>
        </w:rPr>
        <w:t xml:space="preserve"> </w:t>
      </w:r>
    </w:p>
    <w:p w:rsidR="00090167" w:rsidRPr="00DA5D37" w:rsidRDefault="00090167" w:rsidP="00090167">
      <w:pPr>
        <w:pStyle w:val="Body1"/>
        <w:rPr>
          <w:rFonts w:ascii="Arial" w:hAnsi="Arial" w:cs="Arial"/>
        </w:rPr>
      </w:pPr>
      <w:r w:rsidRPr="00090167">
        <w:rPr>
          <w:rFonts w:ascii="Arial" w:hAnsi="Arial" w:cs="Arial"/>
          <w:b/>
        </w:rPr>
        <w:t>5</w:t>
      </w:r>
      <w:r w:rsidRPr="00DA5D37">
        <w:rPr>
          <w:rFonts w:ascii="Arial" w:hAnsi="Arial" w:cs="Arial"/>
        </w:rPr>
        <w:t xml:space="preserve">. Instruction funded by the foundation shall be remunerated in accordance with the principle of equal pay for equal work when compared to the regular program. (FPE: January 1985, June </w:t>
      </w:r>
    </w:p>
    <w:p w:rsidR="00090167" w:rsidRPr="00DA5D37" w:rsidRDefault="00090167" w:rsidP="00090167">
      <w:pPr>
        <w:pStyle w:val="Body1"/>
        <w:rPr>
          <w:rFonts w:ascii="Arial" w:hAnsi="Arial" w:cs="Arial"/>
        </w:rPr>
      </w:pPr>
      <w:r w:rsidRPr="00DA5D37">
        <w:rPr>
          <w:rFonts w:ascii="Arial" w:hAnsi="Arial" w:cs="Arial"/>
        </w:rPr>
        <w:t xml:space="preserve">1992) </w:t>
      </w:r>
    </w:p>
    <w:p w:rsidR="00090167" w:rsidRPr="00090167" w:rsidRDefault="00090167" w:rsidP="00090167">
      <w:pPr>
        <w:pStyle w:val="Body1"/>
        <w:rPr>
          <w:rFonts w:ascii="Arial" w:hAnsi="Arial" w:cs="Arial"/>
          <w:b/>
        </w:rPr>
      </w:pPr>
      <w:r w:rsidRPr="00090167">
        <w:rPr>
          <w:rFonts w:ascii="Arial" w:hAnsi="Arial" w:cs="Arial"/>
          <w:b/>
        </w:rPr>
        <w:t xml:space="preserve">Rationale: Eliminate in favor of amendment to Foundations (page 273). </w:t>
      </w:r>
    </w:p>
    <w:p w:rsidR="00090167" w:rsidRPr="00090167" w:rsidRDefault="00090167" w:rsidP="00090167">
      <w:pPr>
        <w:pStyle w:val="Body1"/>
        <w:rPr>
          <w:rFonts w:ascii="Arial" w:hAnsi="Arial" w:cs="Arial"/>
          <w:b/>
        </w:rPr>
      </w:pPr>
      <w:r w:rsidRPr="00090167">
        <w:rPr>
          <w:rFonts w:ascii="Arial" w:hAnsi="Arial" w:cs="Arial"/>
          <w:b/>
        </w:rPr>
        <w:t xml:space="preserve">B. Foundations </w:t>
      </w:r>
    </w:p>
    <w:p w:rsidR="00090167" w:rsidRPr="00090167" w:rsidRDefault="00090167" w:rsidP="00090167">
      <w:pPr>
        <w:pStyle w:val="Body1"/>
        <w:rPr>
          <w:rFonts w:ascii="Arial" w:hAnsi="Arial" w:cs="Arial"/>
          <w:b/>
        </w:rPr>
      </w:pPr>
      <w:r w:rsidRPr="00090167">
        <w:rPr>
          <w:rFonts w:ascii="Arial" w:hAnsi="Arial" w:cs="Arial"/>
          <w:b/>
        </w:rPr>
        <w:t xml:space="preserve"> CTA believes: </w:t>
      </w:r>
    </w:p>
    <w:p w:rsidR="00090167" w:rsidRPr="00090167" w:rsidRDefault="00090167" w:rsidP="00090167">
      <w:pPr>
        <w:pStyle w:val="Body1"/>
        <w:rPr>
          <w:rFonts w:ascii="Arial" w:hAnsi="Arial" w:cs="Arial"/>
          <w:b/>
        </w:rPr>
      </w:pPr>
      <w:r w:rsidRPr="00090167">
        <w:rPr>
          <w:rFonts w:ascii="Arial" w:hAnsi="Arial" w:cs="Arial"/>
          <w:b/>
        </w:rPr>
        <w:t xml:space="preserve"> 1</w:t>
      </w:r>
      <w:r w:rsidRPr="00F35D28">
        <w:rPr>
          <w:rFonts w:ascii="Arial" w:hAnsi="Arial" w:cs="Arial"/>
        </w:rPr>
        <w:t xml:space="preserve">. Foundations and auxiliary organizations have been and can be a significant and positive force for improving the educational climate in California K-12 </w:t>
      </w:r>
      <w:proofErr w:type="gramStart"/>
      <w:r w:rsidRPr="00F35D28">
        <w:rPr>
          <w:rFonts w:ascii="Arial" w:hAnsi="Arial" w:cs="Arial"/>
        </w:rPr>
        <w:t>school</w:t>
      </w:r>
      <w:proofErr w:type="gramEnd"/>
      <w:r w:rsidRPr="00F35D28">
        <w:rPr>
          <w:rFonts w:ascii="Arial" w:hAnsi="Arial" w:cs="Arial"/>
        </w:rPr>
        <w:t xml:space="preserve"> districts early childhood education through graduate level programs.</w:t>
      </w:r>
      <w:r w:rsidRPr="00090167">
        <w:rPr>
          <w:rFonts w:ascii="Arial" w:hAnsi="Arial" w:cs="Arial"/>
          <w:b/>
        </w:rPr>
        <w:t xml:space="preserve"> </w:t>
      </w:r>
    </w:p>
    <w:p w:rsidR="00090167" w:rsidRPr="00090167" w:rsidRDefault="00090167" w:rsidP="00090167">
      <w:pPr>
        <w:pStyle w:val="Body1"/>
        <w:rPr>
          <w:rFonts w:ascii="Arial" w:hAnsi="Arial" w:cs="Arial"/>
          <w:b/>
        </w:rPr>
      </w:pPr>
      <w:r w:rsidRPr="00090167">
        <w:rPr>
          <w:rFonts w:ascii="Arial" w:hAnsi="Arial" w:cs="Arial"/>
          <w:b/>
        </w:rPr>
        <w:t xml:space="preserve"> 2. </w:t>
      </w:r>
      <w:r w:rsidRPr="00F35D28">
        <w:rPr>
          <w:rFonts w:ascii="Arial" w:hAnsi="Arial" w:cs="Arial"/>
        </w:rPr>
        <w:t>Foundations should be used to support district education programs, and not as a vehicle for evasion of accountability and/or collective bargaining.</w:t>
      </w:r>
      <w:r w:rsidRPr="00090167">
        <w:rPr>
          <w:rFonts w:ascii="Arial" w:hAnsi="Arial" w:cs="Arial"/>
          <w:b/>
        </w:rPr>
        <w:t xml:space="preserve">  </w:t>
      </w:r>
    </w:p>
    <w:p w:rsidR="00090167" w:rsidRPr="00090167" w:rsidRDefault="00090167" w:rsidP="00090167">
      <w:pPr>
        <w:pStyle w:val="Body1"/>
        <w:rPr>
          <w:rFonts w:ascii="Arial" w:hAnsi="Arial" w:cs="Arial"/>
          <w:b/>
        </w:rPr>
      </w:pPr>
      <w:r w:rsidRPr="00090167">
        <w:rPr>
          <w:rFonts w:ascii="Arial" w:hAnsi="Arial" w:cs="Arial"/>
          <w:b/>
        </w:rPr>
        <w:t xml:space="preserve"> T - 2</w:t>
      </w:r>
    </w:p>
    <w:p w:rsidR="00090167" w:rsidRPr="00090167" w:rsidRDefault="00090167" w:rsidP="00090167">
      <w:pPr>
        <w:pStyle w:val="Body1"/>
        <w:rPr>
          <w:rFonts w:ascii="Arial" w:hAnsi="Arial" w:cs="Arial"/>
          <w:b/>
        </w:rPr>
      </w:pPr>
      <w:r w:rsidRPr="00090167">
        <w:rPr>
          <w:rFonts w:ascii="Arial" w:hAnsi="Arial" w:cs="Arial"/>
          <w:b/>
        </w:rPr>
        <w:t xml:space="preserve"> To ensure that we maintain this positive effect, we believe: </w:t>
      </w:r>
    </w:p>
    <w:p w:rsidR="00090167" w:rsidRPr="00090167" w:rsidRDefault="00090167" w:rsidP="00090167">
      <w:pPr>
        <w:pStyle w:val="Body1"/>
        <w:rPr>
          <w:rFonts w:ascii="Arial" w:hAnsi="Arial" w:cs="Arial"/>
          <w:b/>
        </w:rPr>
      </w:pPr>
      <w:r w:rsidRPr="00090167">
        <w:rPr>
          <w:rFonts w:ascii="Arial" w:hAnsi="Arial" w:cs="Arial"/>
          <w:b/>
        </w:rPr>
        <w:lastRenderedPageBreak/>
        <w:t xml:space="preserve"> 1. </w:t>
      </w:r>
      <w:r w:rsidRPr="00F35D28">
        <w:rPr>
          <w:rFonts w:ascii="Arial" w:hAnsi="Arial" w:cs="Arial"/>
        </w:rPr>
        <w:t>Faculty must be well represented, in voting capacity, on all foundation boards and be appointed by the local bargaining agents;</w:t>
      </w:r>
      <w:r w:rsidRPr="00090167">
        <w:rPr>
          <w:rFonts w:ascii="Arial" w:hAnsi="Arial" w:cs="Arial"/>
          <w:b/>
        </w:rPr>
        <w:t xml:space="preserve"> </w:t>
      </w:r>
    </w:p>
    <w:p w:rsidR="00090167" w:rsidRPr="00090167" w:rsidRDefault="00090167" w:rsidP="00090167">
      <w:pPr>
        <w:pStyle w:val="Body1"/>
        <w:rPr>
          <w:rFonts w:ascii="Arial" w:hAnsi="Arial" w:cs="Arial"/>
          <w:b/>
        </w:rPr>
      </w:pPr>
      <w:r w:rsidRPr="00090167">
        <w:rPr>
          <w:rFonts w:ascii="Arial" w:hAnsi="Arial" w:cs="Arial"/>
          <w:b/>
        </w:rPr>
        <w:t xml:space="preserve"> 2. </w:t>
      </w:r>
      <w:r w:rsidRPr="00F35D28">
        <w:rPr>
          <w:rFonts w:ascii="Arial" w:hAnsi="Arial" w:cs="Arial"/>
        </w:rPr>
        <w:t>Foundation meetings must be public and provide ample opportunity for public input;</w:t>
      </w:r>
      <w:r w:rsidRPr="00090167">
        <w:rPr>
          <w:rFonts w:ascii="Arial" w:hAnsi="Arial" w:cs="Arial"/>
          <w:b/>
        </w:rPr>
        <w:t xml:space="preserve"> </w:t>
      </w:r>
    </w:p>
    <w:p w:rsidR="00090167" w:rsidRPr="00090167" w:rsidRDefault="00090167" w:rsidP="00090167">
      <w:pPr>
        <w:pStyle w:val="Body1"/>
        <w:rPr>
          <w:rFonts w:ascii="Arial" w:hAnsi="Arial" w:cs="Arial"/>
          <w:b/>
        </w:rPr>
      </w:pPr>
      <w:r w:rsidRPr="00090167">
        <w:rPr>
          <w:rFonts w:ascii="Arial" w:hAnsi="Arial" w:cs="Arial"/>
          <w:b/>
        </w:rPr>
        <w:t xml:space="preserve"> 3. </w:t>
      </w:r>
      <w:r w:rsidRPr="00F35D28">
        <w:rPr>
          <w:rFonts w:ascii="Arial" w:hAnsi="Arial" w:cs="Arial"/>
        </w:rPr>
        <w:t>Any transactions involving foundation funds or in-kind contribution must be adequately recorded and reported;</w:t>
      </w:r>
      <w:r w:rsidRPr="00090167">
        <w:rPr>
          <w:rFonts w:ascii="Arial" w:hAnsi="Arial" w:cs="Arial"/>
          <w:b/>
        </w:rPr>
        <w:t xml:space="preserve"> </w:t>
      </w:r>
    </w:p>
    <w:p w:rsidR="00090167" w:rsidRPr="00090167" w:rsidRDefault="00090167" w:rsidP="00090167">
      <w:pPr>
        <w:pStyle w:val="Body1"/>
        <w:rPr>
          <w:rFonts w:ascii="Arial" w:hAnsi="Arial" w:cs="Arial"/>
          <w:b/>
        </w:rPr>
      </w:pPr>
      <w:r w:rsidRPr="00090167">
        <w:rPr>
          <w:rFonts w:ascii="Arial" w:hAnsi="Arial" w:cs="Arial"/>
          <w:b/>
        </w:rPr>
        <w:t xml:space="preserve"> 4. </w:t>
      </w:r>
      <w:r w:rsidRPr="00F35D28">
        <w:rPr>
          <w:rFonts w:ascii="Arial" w:hAnsi="Arial" w:cs="Arial"/>
        </w:rPr>
        <w:t>Since the foundation is designed to supplement district monies, any support provided to the foundation by the district, either through direct or in-kind contribution, must be repaid; and</w:t>
      </w:r>
      <w:r w:rsidRPr="00090167">
        <w:rPr>
          <w:rFonts w:ascii="Arial" w:hAnsi="Arial" w:cs="Arial"/>
          <w:b/>
        </w:rPr>
        <w:t xml:space="preserve"> </w:t>
      </w:r>
    </w:p>
    <w:p w:rsidR="00090167" w:rsidRPr="00F35D28" w:rsidRDefault="00090167" w:rsidP="00090167">
      <w:pPr>
        <w:pStyle w:val="Body1"/>
        <w:rPr>
          <w:rFonts w:ascii="Arial" w:hAnsi="Arial" w:cs="Arial"/>
        </w:rPr>
      </w:pPr>
      <w:r w:rsidRPr="00090167">
        <w:rPr>
          <w:rFonts w:ascii="Arial" w:hAnsi="Arial" w:cs="Arial"/>
          <w:b/>
        </w:rPr>
        <w:t xml:space="preserve"> 5. </w:t>
      </w:r>
      <w:r w:rsidRPr="00F35D28">
        <w:rPr>
          <w:rFonts w:ascii="Arial" w:hAnsi="Arial" w:cs="Arial"/>
        </w:rPr>
        <w:t xml:space="preserve">Instruction funded by the foundation shall be remunerated in accordance with the principle of equal pay for equal work when compared to the regular K-12 early childhood through graduate level programs. (FPE: June 1992) </w:t>
      </w:r>
    </w:p>
    <w:p w:rsidR="002E31CE" w:rsidRPr="00F35D28" w:rsidRDefault="00090167" w:rsidP="00090167">
      <w:pPr>
        <w:pStyle w:val="Body1"/>
        <w:rPr>
          <w:rFonts w:ascii="Arial" w:hAnsi="Arial" w:cs="Arial"/>
        </w:rPr>
      </w:pPr>
      <w:r w:rsidRPr="00F35D28">
        <w:rPr>
          <w:rFonts w:ascii="Arial" w:hAnsi="Arial" w:cs="Arial"/>
        </w:rPr>
        <w:t xml:space="preserve"> Rationale: Amendment reflects more inclusive language and eliminates duplicative policy</w:t>
      </w:r>
    </w:p>
    <w:p w:rsidR="002E31CE" w:rsidRDefault="002E31CE">
      <w:pPr>
        <w:pStyle w:val="Body1"/>
        <w:rPr>
          <w:rFonts w:ascii="Arial" w:hAnsi="Arial" w:cs="Arial"/>
          <w:b/>
        </w:rPr>
      </w:pPr>
    </w:p>
    <w:p w:rsidR="00E033FA" w:rsidRPr="00F35D28" w:rsidRDefault="00E033FA" w:rsidP="00E033FA">
      <w:pPr>
        <w:pStyle w:val="Body1"/>
        <w:rPr>
          <w:rFonts w:ascii="Arial" w:eastAsia="Times New Roman" w:hAnsi="Arial" w:cs="Arial"/>
          <w:b/>
          <w:color w:val="auto"/>
          <w:sz w:val="28"/>
          <w:szCs w:val="28"/>
          <w:lang w:eastAsia="en-US"/>
        </w:rPr>
      </w:pPr>
      <w:r w:rsidRPr="00F35D28">
        <w:rPr>
          <w:rFonts w:ascii="Arial" w:eastAsia="Times New Roman" w:hAnsi="Arial" w:cs="Arial"/>
          <w:b/>
          <w:color w:val="auto"/>
          <w:sz w:val="28"/>
          <w:szCs w:val="28"/>
          <w:lang w:eastAsia="en-US"/>
        </w:rPr>
        <w:t>Hispanic Caucus</w:t>
      </w:r>
    </w:p>
    <w:p w:rsidR="00E033FA" w:rsidRPr="00E033FA" w:rsidRDefault="00E033FA" w:rsidP="00E033FA">
      <w:pPr>
        <w:pStyle w:val="Body1"/>
        <w:rPr>
          <w:rFonts w:ascii="Arial" w:eastAsia="Times New Roman" w:hAnsi="Arial" w:cs="Arial"/>
          <w:b/>
          <w:color w:val="auto"/>
          <w:szCs w:val="24"/>
          <w:lang w:eastAsia="en-US"/>
        </w:rPr>
      </w:pPr>
      <w:r w:rsidRPr="00E033FA">
        <w:rPr>
          <w:rFonts w:ascii="Arial" w:eastAsia="Times New Roman" w:hAnsi="Arial" w:cs="Arial"/>
          <w:b/>
          <w:color w:val="auto"/>
          <w:szCs w:val="24"/>
          <w:lang w:eastAsia="en-US"/>
        </w:rPr>
        <w:t>Cesar Chavez materials are available on CTA website</w:t>
      </w:r>
    </w:p>
    <w:p w:rsidR="00E033FA" w:rsidRPr="00E033FA" w:rsidRDefault="00E033FA" w:rsidP="00E033FA">
      <w:pPr>
        <w:pStyle w:val="Body1"/>
        <w:rPr>
          <w:rFonts w:ascii="Arial" w:eastAsia="Times New Roman" w:hAnsi="Arial" w:cs="Arial"/>
          <w:b/>
          <w:color w:val="auto"/>
          <w:szCs w:val="24"/>
          <w:lang w:eastAsia="en-US"/>
        </w:rPr>
      </w:pPr>
      <w:r w:rsidRPr="00E033FA">
        <w:rPr>
          <w:rFonts w:ascii="Arial" w:eastAsia="Times New Roman" w:hAnsi="Arial" w:cs="Arial"/>
          <w:b/>
          <w:color w:val="auto"/>
          <w:szCs w:val="24"/>
          <w:lang w:eastAsia="en-US"/>
        </w:rPr>
        <w:t>•</w:t>
      </w:r>
      <w:r w:rsidRPr="00E033FA">
        <w:rPr>
          <w:rFonts w:ascii="Arial" w:eastAsia="Times New Roman" w:hAnsi="Arial" w:cs="Arial"/>
          <w:b/>
          <w:color w:val="auto"/>
          <w:szCs w:val="24"/>
          <w:lang w:eastAsia="en-US"/>
        </w:rPr>
        <w:tab/>
      </w:r>
      <w:r w:rsidRPr="00DA5D37">
        <w:rPr>
          <w:rFonts w:ascii="Arial" w:eastAsia="Times New Roman" w:hAnsi="Arial" w:cs="Arial"/>
          <w:color w:val="auto"/>
          <w:szCs w:val="24"/>
          <w:lang w:eastAsia="en-US"/>
        </w:rPr>
        <w:t>Common core workshops- 3 more to be held this year</w:t>
      </w:r>
    </w:p>
    <w:p w:rsidR="00E033FA" w:rsidRDefault="00E033FA" w:rsidP="00E033FA">
      <w:pPr>
        <w:pStyle w:val="Body1"/>
        <w:rPr>
          <w:rFonts w:ascii="Arial" w:eastAsia="Times New Roman" w:hAnsi="Arial" w:cs="Arial"/>
          <w:b/>
          <w:color w:val="auto"/>
          <w:szCs w:val="24"/>
          <w:lang w:eastAsia="en-US"/>
        </w:rPr>
      </w:pPr>
      <w:r w:rsidRPr="00E033FA">
        <w:rPr>
          <w:rFonts w:ascii="Arial" w:eastAsia="Times New Roman" w:hAnsi="Arial" w:cs="Arial"/>
          <w:b/>
          <w:color w:val="auto"/>
          <w:szCs w:val="24"/>
          <w:lang w:eastAsia="en-US"/>
        </w:rPr>
        <w:t>•</w:t>
      </w:r>
      <w:r w:rsidRPr="00E033FA">
        <w:rPr>
          <w:rFonts w:ascii="Arial" w:eastAsia="Times New Roman" w:hAnsi="Arial" w:cs="Arial"/>
          <w:b/>
          <w:color w:val="auto"/>
          <w:szCs w:val="24"/>
          <w:lang w:eastAsia="en-US"/>
        </w:rPr>
        <w:tab/>
      </w:r>
      <w:proofErr w:type="gramStart"/>
      <w:r w:rsidRPr="00DA5D37">
        <w:rPr>
          <w:rFonts w:ascii="Arial" w:eastAsia="Times New Roman" w:hAnsi="Arial" w:cs="Arial"/>
          <w:color w:val="auto"/>
          <w:szCs w:val="24"/>
          <w:lang w:eastAsia="en-US"/>
        </w:rPr>
        <w:t>political</w:t>
      </w:r>
      <w:proofErr w:type="gramEnd"/>
      <w:r w:rsidRPr="00DA5D37">
        <w:rPr>
          <w:rFonts w:ascii="Arial" w:eastAsia="Times New Roman" w:hAnsi="Arial" w:cs="Arial"/>
          <w:color w:val="auto"/>
          <w:szCs w:val="24"/>
          <w:lang w:eastAsia="en-US"/>
        </w:rPr>
        <w:t xml:space="preserve"> issues offering at summer institute</w:t>
      </w:r>
    </w:p>
    <w:p w:rsidR="005C31CA" w:rsidRDefault="005C31CA" w:rsidP="00AD59E8">
      <w:pPr>
        <w:pStyle w:val="Body1"/>
        <w:rPr>
          <w:rFonts w:ascii="Arial" w:eastAsia="Times New Roman" w:hAnsi="Arial" w:cs="Arial"/>
          <w:color w:val="auto"/>
          <w:szCs w:val="24"/>
          <w:lang w:eastAsia="en-US"/>
        </w:rPr>
      </w:pPr>
    </w:p>
    <w:p w:rsidR="00320DE3" w:rsidRDefault="00AD59E8" w:rsidP="00AD59E8">
      <w:pPr>
        <w:pStyle w:val="Body1"/>
        <w:rPr>
          <w:rFonts w:ascii="Arial" w:eastAsia="Times New Roman" w:hAnsi="Arial" w:cs="Arial"/>
          <w:b/>
          <w:color w:val="auto"/>
          <w:szCs w:val="24"/>
          <w:lang w:eastAsia="en-US"/>
        </w:rPr>
      </w:pPr>
      <w:r w:rsidRPr="00340A78">
        <w:rPr>
          <w:rFonts w:ascii="Arial" w:eastAsia="Times New Roman" w:hAnsi="Arial" w:cs="Arial"/>
          <w:b/>
          <w:color w:val="auto"/>
          <w:szCs w:val="24"/>
          <w:lang w:eastAsia="en-US"/>
        </w:rPr>
        <w:t>If you have any questions plea</w:t>
      </w:r>
      <w:r w:rsidR="00320DE3">
        <w:rPr>
          <w:rFonts w:ascii="Arial" w:eastAsia="Times New Roman" w:hAnsi="Arial" w:cs="Arial"/>
          <w:b/>
          <w:color w:val="auto"/>
          <w:szCs w:val="24"/>
          <w:lang w:eastAsia="en-US"/>
        </w:rPr>
        <w:t>se do not hesitate to contact your State Council Reps</w:t>
      </w:r>
      <w:r w:rsidR="00340A78" w:rsidRPr="00340A78">
        <w:rPr>
          <w:rFonts w:ascii="Arial" w:eastAsia="Times New Roman" w:hAnsi="Arial" w:cs="Arial"/>
          <w:b/>
          <w:color w:val="auto"/>
          <w:szCs w:val="24"/>
          <w:lang w:eastAsia="en-US"/>
        </w:rPr>
        <w:t>,</w:t>
      </w:r>
    </w:p>
    <w:p w:rsidR="002E09EE" w:rsidRPr="00340A78" w:rsidRDefault="002E09EE" w:rsidP="00AD59E8">
      <w:pPr>
        <w:pStyle w:val="Body1"/>
        <w:rPr>
          <w:rFonts w:ascii="Arial" w:eastAsia="Times New Roman" w:hAnsi="Arial" w:cs="Arial"/>
          <w:b/>
          <w:color w:val="auto"/>
          <w:szCs w:val="24"/>
          <w:lang w:eastAsia="en-US"/>
        </w:rPr>
      </w:pPr>
    </w:p>
    <w:p w:rsidR="00340A78" w:rsidRPr="00340A78" w:rsidRDefault="00320DE3" w:rsidP="00AD59E8">
      <w:pPr>
        <w:pStyle w:val="Body1"/>
        <w:rPr>
          <w:rFonts w:ascii="Arial" w:eastAsia="Times New Roman" w:hAnsi="Arial" w:cs="Arial"/>
          <w:b/>
          <w:color w:val="auto"/>
          <w:szCs w:val="24"/>
          <w:lang w:eastAsia="en-US"/>
        </w:rPr>
      </w:pPr>
      <w:r>
        <w:rPr>
          <w:rFonts w:ascii="Arial" w:eastAsia="Times New Roman" w:hAnsi="Arial" w:cs="Arial"/>
          <w:b/>
          <w:color w:val="auto"/>
          <w:szCs w:val="24"/>
          <w:lang w:eastAsia="en-US"/>
        </w:rPr>
        <w:t>Jerry Eaton</w:t>
      </w:r>
      <w:r>
        <w:rPr>
          <w:rFonts w:ascii="Arial" w:eastAsia="Times New Roman" w:hAnsi="Arial" w:cs="Arial"/>
          <w:b/>
          <w:color w:val="auto"/>
          <w:szCs w:val="24"/>
          <w:lang w:eastAsia="en-US"/>
        </w:rPr>
        <w:tab/>
      </w:r>
      <w:r>
        <w:rPr>
          <w:rFonts w:ascii="Arial" w:eastAsia="Times New Roman" w:hAnsi="Arial" w:cs="Arial"/>
          <w:b/>
          <w:color w:val="auto"/>
          <w:szCs w:val="24"/>
          <w:lang w:eastAsia="en-US"/>
        </w:rPr>
        <w:tab/>
      </w:r>
      <w:r>
        <w:rPr>
          <w:rFonts w:ascii="Arial" w:eastAsia="Times New Roman" w:hAnsi="Arial" w:cs="Arial"/>
          <w:b/>
          <w:color w:val="auto"/>
          <w:szCs w:val="24"/>
          <w:lang w:eastAsia="en-US"/>
        </w:rPr>
        <w:tab/>
      </w:r>
      <w:r>
        <w:rPr>
          <w:rFonts w:ascii="Arial" w:eastAsia="Times New Roman" w:hAnsi="Arial" w:cs="Arial"/>
          <w:b/>
          <w:color w:val="auto"/>
          <w:szCs w:val="24"/>
          <w:lang w:eastAsia="en-US"/>
        </w:rPr>
        <w:tab/>
      </w:r>
      <w:r>
        <w:rPr>
          <w:rFonts w:ascii="Arial" w:eastAsia="Times New Roman" w:hAnsi="Arial" w:cs="Arial"/>
          <w:b/>
          <w:color w:val="auto"/>
          <w:szCs w:val="24"/>
          <w:lang w:eastAsia="en-US"/>
        </w:rPr>
        <w:tab/>
        <w:t>Corey Penrose</w:t>
      </w:r>
    </w:p>
    <w:p w:rsidR="00340A78" w:rsidRPr="00340A78" w:rsidRDefault="00340A78" w:rsidP="00AD59E8">
      <w:pPr>
        <w:pStyle w:val="Body1"/>
        <w:rPr>
          <w:rFonts w:ascii="Arial" w:eastAsia="Times New Roman" w:hAnsi="Arial" w:cs="Arial"/>
          <w:b/>
          <w:color w:val="auto"/>
          <w:szCs w:val="24"/>
          <w:lang w:eastAsia="en-US"/>
        </w:rPr>
      </w:pPr>
      <w:hyperlink r:id="rId26" w:history="1">
        <w:r w:rsidRPr="00340A78">
          <w:rPr>
            <w:rStyle w:val="Hyperlink"/>
            <w:rFonts w:ascii="Arial" w:eastAsia="Times New Roman" w:hAnsi="Arial" w:cs="Arial"/>
            <w:b/>
            <w:szCs w:val="24"/>
            <w:lang w:eastAsia="en-US"/>
          </w:rPr>
          <w:t>profe_dude@hotmail.com</w:t>
        </w:r>
      </w:hyperlink>
      <w:r w:rsidR="00320DE3">
        <w:rPr>
          <w:rFonts w:ascii="Arial" w:eastAsia="Times New Roman" w:hAnsi="Arial" w:cs="Arial"/>
          <w:b/>
          <w:color w:val="auto"/>
          <w:szCs w:val="24"/>
          <w:lang w:eastAsia="en-US"/>
        </w:rPr>
        <w:tab/>
      </w:r>
      <w:r w:rsidR="00320DE3">
        <w:rPr>
          <w:rFonts w:ascii="Arial" w:eastAsia="Times New Roman" w:hAnsi="Arial" w:cs="Arial"/>
          <w:b/>
          <w:color w:val="auto"/>
          <w:szCs w:val="24"/>
          <w:lang w:eastAsia="en-US"/>
        </w:rPr>
        <w:tab/>
      </w:r>
      <w:hyperlink r:id="rId27" w:history="1">
        <w:r w:rsidR="00320DE3" w:rsidRPr="00FB0502">
          <w:rPr>
            <w:rStyle w:val="Hyperlink"/>
            <w:rFonts w:ascii="Arial" w:eastAsia="Times New Roman" w:hAnsi="Arial" w:cs="Arial"/>
            <w:b/>
            <w:szCs w:val="24"/>
            <w:lang w:eastAsia="en-US"/>
          </w:rPr>
          <w:t>coreypenrose@gmail.com</w:t>
        </w:r>
      </w:hyperlink>
      <w:r w:rsidR="00320DE3">
        <w:rPr>
          <w:rFonts w:ascii="Arial" w:eastAsia="Times New Roman" w:hAnsi="Arial" w:cs="Arial"/>
          <w:b/>
          <w:color w:val="auto"/>
          <w:szCs w:val="24"/>
          <w:lang w:eastAsia="en-US"/>
        </w:rPr>
        <w:t xml:space="preserve"> </w:t>
      </w:r>
    </w:p>
    <w:p w:rsidR="00340A78" w:rsidRDefault="00340A78" w:rsidP="00AD59E8">
      <w:pPr>
        <w:pStyle w:val="Body1"/>
        <w:rPr>
          <w:rFonts w:ascii="Arial" w:eastAsia="Times New Roman" w:hAnsi="Arial" w:cs="Arial"/>
          <w:b/>
          <w:color w:val="auto"/>
          <w:szCs w:val="24"/>
          <w:lang w:eastAsia="en-US"/>
        </w:rPr>
      </w:pPr>
      <w:r w:rsidRPr="00340A78">
        <w:rPr>
          <w:rFonts w:ascii="Arial" w:eastAsia="Times New Roman" w:hAnsi="Arial" w:cs="Arial"/>
          <w:b/>
          <w:color w:val="auto"/>
          <w:szCs w:val="24"/>
          <w:lang w:eastAsia="en-US"/>
        </w:rPr>
        <w:t>209-743-8383</w:t>
      </w:r>
      <w:r w:rsidR="00320DE3">
        <w:rPr>
          <w:rFonts w:ascii="Arial" w:eastAsia="Times New Roman" w:hAnsi="Arial" w:cs="Arial"/>
          <w:b/>
          <w:color w:val="auto"/>
          <w:szCs w:val="24"/>
          <w:lang w:eastAsia="en-US"/>
        </w:rPr>
        <w:tab/>
      </w:r>
      <w:r w:rsidR="00320DE3">
        <w:rPr>
          <w:rFonts w:ascii="Arial" w:eastAsia="Times New Roman" w:hAnsi="Arial" w:cs="Arial"/>
          <w:b/>
          <w:color w:val="auto"/>
          <w:szCs w:val="24"/>
          <w:lang w:eastAsia="en-US"/>
        </w:rPr>
        <w:tab/>
      </w:r>
      <w:r w:rsidR="00320DE3">
        <w:rPr>
          <w:rFonts w:ascii="Arial" w:eastAsia="Times New Roman" w:hAnsi="Arial" w:cs="Arial"/>
          <w:b/>
          <w:color w:val="auto"/>
          <w:szCs w:val="24"/>
          <w:lang w:eastAsia="en-US"/>
        </w:rPr>
        <w:tab/>
      </w:r>
      <w:r w:rsidR="00320DE3">
        <w:rPr>
          <w:rFonts w:ascii="Arial" w:eastAsia="Times New Roman" w:hAnsi="Arial" w:cs="Arial"/>
          <w:b/>
          <w:color w:val="auto"/>
          <w:szCs w:val="24"/>
          <w:lang w:eastAsia="en-US"/>
        </w:rPr>
        <w:tab/>
        <w:t>530-867-3255</w:t>
      </w:r>
    </w:p>
    <w:p w:rsidR="00320DE3" w:rsidRDefault="00320DE3" w:rsidP="00AD59E8">
      <w:pPr>
        <w:pStyle w:val="Body1"/>
        <w:rPr>
          <w:rFonts w:ascii="Arial" w:eastAsia="Times New Roman" w:hAnsi="Arial" w:cs="Arial"/>
          <w:b/>
          <w:color w:val="auto"/>
          <w:szCs w:val="24"/>
          <w:lang w:eastAsia="en-US"/>
        </w:rPr>
      </w:pPr>
    </w:p>
    <w:p w:rsidR="00320DE3" w:rsidRDefault="00320DE3" w:rsidP="00AD59E8">
      <w:pPr>
        <w:pStyle w:val="Body1"/>
        <w:rPr>
          <w:rFonts w:ascii="Arial" w:eastAsia="Times New Roman" w:hAnsi="Arial" w:cs="Arial"/>
          <w:b/>
          <w:color w:val="auto"/>
          <w:szCs w:val="24"/>
          <w:lang w:eastAsia="en-US"/>
        </w:rPr>
      </w:pPr>
      <w:r>
        <w:rPr>
          <w:rFonts w:ascii="Arial" w:eastAsia="Times New Roman" w:hAnsi="Arial" w:cs="Arial"/>
          <w:b/>
          <w:color w:val="auto"/>
          <w:szCs w:val="24"/>
          <w:lang w:eastAsia="en-US"/>
        </w:rPr>
        <w:t>Julie Timmerman</w:t>
      </w:r>
    </w:p>
    <w:p w:rsidR="00320DE3" w:rsidRDefault="00042C9A" w:rsidP="00AD59E8">
      <w:pPr>
        <w:pStyle w:val="Body1"/>
        <w:rPr>
          <w:rFonts w:ascii="Arial" w:eastAsia="Times New Roman" w:hAnsi="Arial" w:cs="Arial"/>
          <w:b/>
          <w:color w:val="auto"/>
          <w:szCs w:val="24"/>
          <w:lang w:eastAsia="en-US"/>
        </w:rPr>
      </w:pPr>
      <w:hyperlink r:id="rId28" w:history="1">
        <w:r w:rsidRPr="00FB0502">
          <w:rPr>
            <w:rStyle w:val="Hyperlink"/>
            <w:rFonts w:ascii="Arial" w:eastAsia="Times New Roman" w:hAnsi="Arial" w:cs="Arial"/>
            <w:b/>
            <w:szCs w:val="24"/>
            <w:lang w:eastAsia="en-US"/>
          </w:rPr>
          <w:t>jtimmerman1@att.net</w:t>
        </w:r>
      </w:hyperlink>
      <w:r w:rsidR="00320DE3">
        <w:rPr>
          <w:rFonts w:ascii="Arial" w:eastAsia="Times New Roman" w:hAnsi="Arial" w:cs="Arial"/>
          <w:b/>
          <w:color w:val="auto"/>
          <w:szCs w:val="24"/>
          <w:lang w:eastAsia="en-US"/>
        </w:rPr>
        <w:t xml:space="preserve"> </w:t>
      </w:r>
    </w:p>
    <w:p w:rsidR="00320DE3" w:rsidRPr="00340A78" w:rsidRDefault="00042C9A" w:rsidP="00AD59E8">
      <w:pPr>
        <w:pStyle w:val="Body1"/>
        <w:rPr>
          <w:rFonts w:ascii="Arial" w:eastAsia="Times New Roman" w:hAnsi="Arial" w:cs="Arial"/>
          <w:b/>
          <w:color w:val="auto"/>
          <w:szCs w:val="24"/>
          <w:lang w:eastAsia="en-US"/>
        </w:rPr>
      </w:pPr>
      <w:r>
        <w:rPr>
          <w:rFonts w:ascii="Arial" w:eastAsia="Times New Roman" w:hAnsi="Arial" w:cs="Arial"/>
          <w:b/>
          <w:color w:val="auto"/>
          <w:szCs w:val="24"/>
          <w:lang w:eastAsia="en-US"/>
        </w:rPr>
        <w:t>707-689-6940</w:t>
      </w:r>
    </w:p>
    <w:sectPr w:rsidR="00320DE3" w:rsidRPr="00340A78" w:rsidSect="00CA5DC2">
      <w:pgSz w:w="12240" w:h="15840"/>
      <w:pgMar w:top="720" w:right="720" w:bottom="720" w:left="720" w:header="720" w:footer="864" w:gutter="0"/>
      <w:cols w:space="720"/>
      <w:docGrid w:linePitch="326"/>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7492A"/>
    <w:multiLevelType w:val="hybridMultilevel"/>
    <w:tmpl w:val="79C0309C"/>
    <w:lvl w:ilvl="0" w:tplc="70C23CD0">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D934B5"/>
    <w:multiLevelType w:val="hybridMultilevel"/>
    <w:tmpl w:val="145A038C"/>
    <w:lvl w:ilvl="0" w:tplc="86947C38">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677365"/>
    <w:multiLevelType w:val="hybridMultilevel"/>
    <w:tmpl w:val="4C9C8720"/>
    <w:lvl w:ilvl="0" w:tplc="70C23CD0">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2548DA"/>
    <w:multiLevelType w:val="hybridMultilevel"/>
    <w:tmpl w:val="B3683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434AC5"/>
    <w:multiLevelType w:val="hybridMultilevel"/>
    <w:tmpl w:val="895E637A"/>
    <w:lvl w:ilvl="0" w:tplc="4ED46B9A">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373662"/>
    <w:multiLevelType w:val="hybridMultilevel"/>
    <w:tmpl w:val="F516D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5"/>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embedSystemFonts/>
  <w:bordersDoNotSurroundHeader/>
  <w:bordersDoNotSurroundFooter/>
  <w:proofState w:spelling="clean" w:grammar="clean"/>
  <w:stylePaneFormatFilter w:val="2801"/>
  <w:defaultTabStop w:val="720"/>
  <w:defaultTableStyle w:val="Normal"/>
  <w:drawingGridHorizontalSpacing w:val="120"/>
  <w:drawingGridVerticalSpacing w:val="0"/>
  <w:displayHorizontalDrawingGridEvery w:val="0"/>
  <w:displayVerticalDrawingGridEvery w:val="0"/>
  <w:doNotShadeFormData/>
  <w:noPunctuationKerning/>
  <w:characterSpacingControl w:val="doNotCompress"/>
  <w:noLineBreaksAfter w:lang="ja-JP" w:val="‘“(〔[{〈《「『【⦅〘〖«〝︵︷︹︻︽︿﹁﹃﹇﹙﹛﹝｢"/>
  <w:noLineBreaksBefore w:lang="ja-JP" w:val="’”)〕]}〉"/>
  <w:doNotValidateAgainstSchema/>
  <w:doNotDemarcateInvalidXml/>
  <w:compat>
    <w:spaceForUL/>
    <w:balanceSingleByteDoubleByteWidth/>
    <w:doNotLeaveBackslashAlone/>
    <w:ulTrailSpace/>
    <w:doNotExpandShiftReturn/>
    <w:adjustLineHeightInTable/>
  </w:compat>
  <w:rsids>
    <w:rsidRoot w:val="00E6364E"/>
    <w:rsid w:val="000214B6"/>
    <w:rsid w:val="000322A7"/>
    <w:rsid w:val="00042C9A"/>
    <w:rsid w:val="00090167"/>
    <w:rsid w:val="000D672F"/>
    <w:rsid w:val="0011117D"/>
    <w:rsid w:val="00121899"/>
    <w:rsid w:val="0013127A"/>
    <w:rsid w:val="001330CE"/>
    <w:rsid w:val="00146B0E"/>
    <w:rsid w:val="001535B0"/>
    <w:rsid w:val="001671E3"/>
    <w:rsid w:val="00181FF2"/>
    <w:rsid w:val="00183BBE"/>
    <w:rsid w:val="001919EE"/>
    <w:rsid w:val="001D51BE"/>
    <w:rsid w:val="00205BF2"/>
    <w:rsid w:val="00276E50"/>
    <w:rsid w:val="0029714C"/>
    <w:rsid w:val="002D2941"/>
    <w:rsid w:val="002E09EE"/>
    <w:rsid w:val="002E31CE"/>
    <w:rsid w:val="002E5FCC"/>
    <w:rsid w:val="002F04FF"/>
    <w:rsid w:val="002F6CBF"/>
    <w:rsid w:val="002F721E"/>
    <w:rsid w:val="00320DE3"/>
    <w:rsid w:val="00340A78"/>
    <w:rsid w:val="00350667"/>
    <w:rsid w:val="00371FDB"/>
    <w:rsid w:val="003722E2"/>
    <w:rsid w:val="00376B78"/>
    <w:rsid w:val="00386D4E"/>
    <w:rsid w:val="003A3BB3"/>
    <w:rsid w:val="003B587A"/>
    <w:rsid w:val="00420FDB"/>
    <w:rsid w:val="00447FA0"/>
    <w:rsid w:val="004740EC"/>
    <w:rsid w:val="004F2D84"/>
    <w:rsid w:val="005A797C"/>
    <w:rsid w:val="005C31CA"/>
    <w:rsid w:val="006110FF"/>
    <w:rsid w:val="00612948"/>
    <w:rsid w:val="00612A31"/>
    <w:rsid w:val="006538E9"/>
    <w:rsid w:val="0066381B"/>
    <w:rsid w:val="006E53F1"/>
    <w:rsid w:val="0070150E"/>
    <w:rsid w:val="00722A1A"/>
    <w:rsid w:val="00740ECD"/>
    <w:rsid w:val="00763F10"/>
    <w:rsid w:val="00780B1A"/>
    <w:rsid w:val="00793D14"/>
    <w:rsid w:val="007C3404"/>
    <w:rsid w:val="007F7E13"/>
    <w:rsid w:val="00822506"/>
    <w:rsid w:val="008241A0"/>
    <w:rsid w:val="0084315A"/>
    <w:rsid w:val="0084772E"/>
    <w:rsid w:val="008530D5"/>
    <w:rsid w:val="00861E1B"/>
    <w:rsid w:val="0086381A"/>
    <w:rsid w:val="008D0996"/>
    <w:rsid w:val="008D0A09"/>
    <w:rsid w:val="008F41B3"/>
    <w:rsid w:val="0099431A"/>
    <w:rsid w:val="009A77E9"/>
    <w:rsid w:val="009E734A"/>
    <w:rsid w:val="009F4280"/>
    <w:rsid w:val="00A234DC"/>
    <w:rsid w:val="00A40CC6"/>
    <w:rsid w:val="00A4491D"/>
    <w:rsid w:val="00A90095"/>
    <w:rsid w:val="00AB4A0F"/>
    <w:rsid w:val="00AD59E8"/>
    <w:rsid w:val="00B002EB"/>
    <w:rsid w:val="00B13861"/>
    <w:rsid w:val="00B26ED1"/>
    <w:rsid w:val="00B32D26"/>
    <w:rsid w:val="00B404A8"/>
    <w:rsid w:val="00B62803"/>
    <w:rsid w:val="00BD432E"/>
    <w:rsid w:val="00BF7680"/>
    <w:rsid w:val="00C53EB1"/>
    <w:rsid w:val="00C82333"/>
    <w:rsid w:val="00CA07CD"/>
    <w:rsid w:val="00CA17BA"/>
    <w:rsid w:val="00CA5DC2"/>
    <w:rsid w:val="00CC273F"/>
    <w:rsid w:val="00CD284D"/>
    <w:rsid w:val="00CF5628"/>
    <w:rsid w:val="00D1044A"/>
    <w:rsid w:val="00D327C8"/>
    <w:rsid w:val="00D6771C"/>
    <w:rsid w:val="00D71D34"/>
    <w:rsid w:val="00D73565"/>
    <w:rsid w:val="00D83B86"/>
    <w:rsid w:val="00D95F12"/>
    <w:rsid w:val="00DA5D37"/>
    <w:rsid w:val="00DD44BE"/>
    <w:rsid w:val="00E0220B"/>
    <w:rsid w:val="00E033FA"/>
    <w:rsid w:val="00E37281"/>
    <w:rsid w:val="00E52840"/>
    <w:rsid w:val="00E627BD"/>
    <w:rsid w:val="00E63214"/>
    <w:rsid w:val="00E6364E"/>
    <w:rsid w:val="00E82127"/>
    <w:rsid w:val="00EE6466"/>
    <w:rsid w:val="00EF4385"/>
    <w:rsid w:val="00F12873"/>
    <w:rsid w:val="00F22A00"/>
    <w:rsid w:val="00F30956"/>
    <w:rsid w:val="00F35D28"/>
    <w:rsid w:val="00F41A41"/>
    <w:rsid w:val="00F53762"/>
    <w:rsid w:val="00F66CF5"/>
    <w:rsid w:val="00F71EF5"/>
    <w:rsid w:val="00FC0EFA"/>
    <w:rsid w:val="00FC7CF6"/>
    <w:rsid w:val="00FD139B"/>
    <w:rsid w:val="00FE1F2C"/>
    <w:rsid w:val="00FE7C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rap-style:none">
      <v:stroke weight="0" endcap="round"/>
      <v:textbox style="mso-column-count:0;mso-column-margin:0" inset="0,0,0,0"/>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ody1">
    <w:name w:val="Body 1"/>
    <w:rPr>
      <w:rFonts w:ascii="Helvetica" w:eastAsia="Arial Unicode MS" w:hAnsi="Helvetica"/>
      <w:color w:val="000000"/>
      <w:sz w:val="24"/>
    </w:rPr>
  </w:style>
  <w:style w:type="character" w:styleId="Hyperlink">
    <w:name w:val="Hyperlink"/>
    <w:rPr>
      <w:color w:val="000099"/>
      <w:u w:val="single"/>
    </w:rPr>
  </w:style>
  <w:style w:type="character" w:styleId="FollowedHyperlink">
    <w:name w:val="FollowedHyperlink"/>
    <w:locked/>
    <w:rsid w:val="003B587A"/>
    <w:rPr>
      <w:color w:val="800080"/>
      <w:u w:val="single"/>
    </w:rPr>
  </w:style>
</w:styles>
</file>

<file path=word/webSettings.xml><?xml version="1.0" encoding="utf-8"?>
<w:webSettings xmlns:r="http://schemas.openxmlformats.org/officeDocument/2006/relationships" xmlns:w="http://schemas.openxmlformats.org/wordprocessingml/2006/main">
  <w:pixelsPerInch w:val="72"/>
  <w:targetScreenSz w:val="544x376"/>
</w:webSettings>
</file>

<file path=word/_rels/document.xml.rels><?xml version="1.0" encoding="UTF-8" standalone="yes"?>
<Relationships xmlns="http://schemas.openxmlformats.org/package/2006/relationships"><Relationship Id="rId8" Type="http://schemas.openxmlformats.org/officeDocument/2006/relationships/hyperlink" Target="http://www.cta.org/en/Parents-and-Community/Read-Across-America/California-Reads.aspx" TargetMode="External"/><Relationship Id="rId13" Type="http://schemas.openxmlformats.org/officeDocument/2006/relationships/hyperlink" Target="http://www.cde.ca.gov/ci/rl/cf/elaeldfrmwrkchptrs2014.asp" TargetMode="External"/><Relationship Id="rId18" Type="http://schemas.openxmlformats.org/officeDocument/2006/relationships/hyperlink" Target="http://www.cta.org" TargetMode="External"/><Relationship Id="rId26" Type="http://schemas.openxmlformats.org/officeDocument/2006/relationships/hyperlink" Target="mailto:profe_dude@hotmail.com" TargetMode="External"/><Relationship Id="rId3" Type="http://schemas.openxmlformats.org/officeDocument/2006/relationships/settings" Target="settings.xml"/><Relationship Id="rId21" Type="http://schemas.openxmlformats.org/officeDocument/2006/relationships/hyperlink" Target="http://www.nea.org" TargetMode="External"/><Relationship Id="rId7" Type="http://schemas.openxmlformats.org/officeDocument/2006/relationships/hyperlink" Target="http://www.cde.ca.gov/ci/sc/cf/" TargetMode="External"/><Relationship Id="rId12" Type="http://schemas.openxmlformats.org/officeDocument/2006/relationships/hyperlink" Target="http://www.cta.org" TargetMode="External"/><Relationship Id="rId17" Type="http://schemas.openxmlformats.org/officeDocument/2006/relationships/hyperlink" Target="http://www.mycalstrs.com" TargetMode="External"/><Relationship Id="rId25" Type="http://schemas.openxmlformats.org/officeDocument/2006/relationships/hyperlink" Target="http://www.cta.org/ourfuture" TargetMode="External"/><Relationship Id="rId2" Type="http://schemas.openxmlformats.org/officeDocument/2006/relationships/styles" Target="styles.xml"/><Relationship Id="rId16" Type="http://schemas.openxmlformats.org/officeDocument/2006/relationships/hyperlink" Target="http://www.CALSTRS.com" TargetMode="External"/><Relationship Id="rId20" Type="http://schemas.openxmlformats.org/officeDocument/2006/relationships/hyperlink" Target="http://www.CALPERS.ca.gov"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smarterbalanced.org/" TargetMode="External"/><Relationship Id="rId11" Type="http://schemas.openxmlformats.org/officeDocument/2006/relationships/hyperlink" Target="http://www.casponline.org" TargetMode="External"/><Relationship Id="rId24" Type="http://schemas.openxmlformats.org/officeDocument/2006/relationships/hyperlink" Target="http://www.ssfairness.com" TargetMode="External"/><Relationship Id="rId5" Type="http://schemas.openxmlformats.org/officeDocument/2006/relationships/hyperlink" Target="http://www.cta.org/Issues-and-Action/Ongoing-Issues/Vergara-Trial1.aspx" TargetMode="External"/><Relationship Id="rId15" Type="http://schemas.openxmlformats.org/officeDocument/2006/relationships/hyperlink" Target="http://www.nea.org/socialsecurity" TargetMode="External"/><Relationship Id="rId23" Type="http://schemas.openxmlformats.org/officeDocument/2006/relationships/hyperlink" Target="http://www.nirsonline.org" TargetMode="External"/><Relationship Id="rId28" Type="http://schemas.openxmlformats.org/officeDocument/2006/relationships/hyperlink" Target="mailto:jtimmerman1@att.net" TargetMode="External"/><Relationship Id="rId10" Type="http://schemas.openxmlformats.org/officeDocument/2006/relationships/hyperlink" Target="http://www.ccss.org/" TargetMode="External"/><Relationship Id="rId19" Type="http://schemas.openxmlformats.org/officeDocument/2006/relationships/hyperlink" Target="http://www.leginfo.ca.gov" TargetMode="External"/><Relationship Id="rId4" Type="http://schemas.openxmlformats.org/officeDocument/2006/relationships/webSettings" Target="webSettings.xml"/><Relationship Id="rId9" Type="http://schemas.openxmlformats.org/officeDocument/2006/relationships/hyperlink" Target="http://www.carsplus.org" TargetMode="External"/><Relationship Id="rId14" Type="http://schemas.openxmlformats.org/officeDocument/2006/relationships/hyperlink" Target="http://surveys.cde.ca.gov/surveylogin.asp?k=138677921630" TargetMode="External"/><Relationship Id="rId22" Type="http://schemas.openxmlformats.org/officeDocument/2006/relationships/hyperlink" Target="http://www.ctainvest.org" TargetMode="External"/><Relationship Id="rId27" Type="http://schemas.openxmlformats.org/officeDocument/2006/relationships/hyperlink" Target="mailto:coreypenrose@gmail.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1851</Words>
  <Characters>10554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12381</CharactersWithSpaces>
  <SharedDoc>false</SharedDoc>
  <HLinks>
    <vt:vector size="144" baseType="variant">
      <vt:variant>
        <vt:i4>2162762</vt:i4>
      </vt:variant>
      <vt:variant>
        <vt:i4>69</vt:i4>
      </vt:variant>
      <vt:variant>
        <vt:i4>0</vt:i4>
      </vt:variant>
      <vt:variant>
        <vt:i4>5</vt:i4>
      </vt:variant>
      <vt:variant>
        <vt:lpwstr>mailto:jtimmerman1@att.net</vt:lpwstr>
      </vt:variant>
      <vt:variant>
        <vt:lpwstr/>
      </vt:variant>
      <vt:variant>
        <vt:i4>7012445</vt:i4>
      </vt:variant>
      <vt:variant>
        <vt:i4>66</vt:i4>
      </vt:variant>
      <vt:variant>
        <vt:i4>0</vt:i4>
      </vt:variant>
      <vt:variant>
        <vt:i4>5</vt:i4>
      </vt:variant>
      <vt:variant>
        <vt:lpwstr>mailto:coreypenrose@gmail.com</vt:lpwstr>
      </vt:variant>
      <vt:variant>
        <vt:lpwstr/>
      </vt:variant>
      <vt:variant>
        <vt:i4>7471203</vt:i4>
      </vt:variant>
      <vt:variant>
        <vt:i4>63</vt:i4>
      </vt:variant>
      <vt:variant>
        <vt:i4>0</vt:i4>
      </vt:variant>
      <vt:variant>
        <vt:i4>5</vt:i4>
      </vt:variant>
      <vt:variant>
        <vt:lpwstr>mailto:profe_dude@hotmail.com</vt:lpwstr>
      </vt:variant>
      <vt:variant>
        <vt:lpwstr/>
      </vt:variant>
      <vt:variant>
        <vt:i4>5832770</vt:i4>
      </vt:variant>
      <vt:variant>
        <vt:i4>60</vt:i4>
      </vt:variant>
      <vt:variant>
        <vt:i4>0</vt:i4>
      </vt:variant>
      <vt:variant>
        <vt:i4>5</vt:i4>
      </vt:variant>
      <vt:variant>
        <vt:lpwstr>http://www.cta.org/ourfuture</vt:lpwstr>
      </vt:variant>
      <vt:variant>
        <vt:lpwstr/>
      </vt:variant>
      <vt:variant>
        <vt:i4>2359336</vt:i4>
      </vt:variant>
      <vt:variant>
        <vt:i4>57</vt:i4>
      </vt:variant>
      <vt:variant>
        <vt:i4>0</vt:i4>
      </vt:variant>
      <vt:variant>
        <vt:i4>5</vt:i4>
      </vt:variant>
      <vt:variant>
        <vt:lpwstr>http://www.ssfairness.com/</vt:lpwstr>
      </vt:variant>
      <vt:variant>
        <vt:lpwstr/>
      </vt:variant>
      <vt:variant>
        <vt:i4>2687008</vt:i4>
      </vt:variant>
      <vt:variant>
        <vt:i4>54</vt:i4>
      </vt:variant>
      <vt:variant>
        <vt:i4>0</vt:i4>
      </vt:variant>
      <vt:variant>
        <vt:i4>5</vt:i4>
      </vt:variant>
      <vt:variant>
        <vt:lpwstr>http://www.nirsonline.org/</vt:lpwstr>
      </vt:variant>
      <vt:variant>
        <vt:lpwstr/>
      </vt:variant>
      <vt:variant>
        <vt:i4>6160404</vt:i4>
      </vt:variant>
      <vt:variant>
        <vt:i4>51</vt:i4>
      </vt:variant>
      <vt:variant>
        <vt:i4>0</vt:i4>
      </vt:variant>
      <vt:variant>
        <vt:i4>5</vt:i4>
      </vt:variant>
      <vt:variant>
        <vt:lpwstr>http://www.ctainvest.org/</vt:lpwstr>
      </vt:variant>
      <vt:variant>
        <vt:lpwstr/>
      </vt:variant>
      <vt:variant>
        <vt:i4>2883689</vt:i4>
      </vt:variant>
      <vt:variant>
        <vt:i4>48</vt:i4>
      </vt:variant>
      <vt:variant>
        <vt:i4>0</vt:i4>
      </vt:variant>
      <vt:variant>
        <vt:i4>5</vt:i4>
      </vt:variant>
      <vt:variant>
        <vt:lpwstr>http://www.nea.org/</vt:lpwstr>
      </vt:variant>
      <vt:variant>
        <vt:lpwstr/>
      </vt:variant>
      <vt:variant>
        <vt:i4>4128877</vt:i4>
      </vt:variant>
      <vt:variant>
        <vt:i4>45</vt:i4>
      </vt:variant>
      <vt:variant>
        <vt:i4>0</vt:i4>
      </vt:variant>
      <vt:variant>
        <vt:i4>5</vt:i4>
      </vt:variant>
      <vt:variant>
        <vt:lpwstr>http://www.calpers.ca.gov/</vt:lpwstr>
      </vt:variant>
      <vt:variant>
        <vt:lpwstr/>
      </vt:variant>
      <vt:variant>
        <vt:i4>2883684</vt:i4>
      </vt:variant>
      <vt:variant>
        <vt:i4>42</vt:i4>
      </vt:variant>
      <vt:variant>
        <vt:i4>0</vt:i4>
      </vt:variant>
      <vt:variant>
        <vt:i4>5</vt:i4>
      </vt:variant>
      <vt:variant>
        <vt:lpwstr>http://www.leginfo.ca.gov/</vt:lpwstr>
      </vt:variant>
      <vt:variant>
        <vt:lpwstr/>
      </vt:variant>
      <vt:variant>
        <vt:i4>2162808</vt:i4>
      </vt:variant>
      <vt:variant>
        <vt:i4>39</vt:i4>
      </vt:variant>
      <vt:variant>
        <vt:i4>0</vt:i4>
      </vt:variant>
      <vt:variant>
        <vt:i4>5</vt:i4>
      </vt:variant>
      <vt:variant>
        <vt:lpwstr>http://www.cta.org/</vt:lpwstr>
      </vt:variant>
      <vt:variant>
        <vt:lpwstr/>
      </vt:variant>
      <vt:variant>
        <vt:i4>4194312</vt:i4>
      </vt:variant>
      <vt:variant>
        <vt:i4>36</vt:i4>
      </vt:variant>
      <vt:variant>
        <vt:i4>0</vt:i4>
      </vt:variant>
      <vt:variant>
        <vt:i4>5</vt:i4>
      </vt:variant>
      <vt:variant>
        <vt:lpwstr>http://www.mycalstrs.com/</vt:lpwstr>
      </vt:variant>
      <vt:variant>
        <vt:lpwstr/>
      </vt:variant>
      <vt:variant>
        <vt:i4>2949233</vt:i4>
      </vt:variant>
      <vt:variant>
        <vt:i4>33</vt:i4>
      </vt:variant>
      <vt:variant>
        <vt:i4>0</vt:i4>
      </vt:variant>
      <vt:variant>
        <vt:i4>5</vt:i4>
      </vt:variant>
      <vt:variant>
        <vt:lpwstr>http://www.calstrs.com/</vt:lpwstr>
      </vt:variant>
      <vt:variant>
        <vt:lpwstr/>
      </vt:variant>
      <vt:variant>
        <vt:i4>4915285</vt:i4>
      </vt:variant>
      <vt:variant>
        <vt:i4>30</vt:i4>
      </vt:variant>
      <vt:variant>
        <vt:i4>0</vt:i4>
      </vt:variant>
      <vt:variant>
        <vt:i4>5</vt:i4>
      </vt:variant>
      <vt:variant>
        <vt:lpwstr>http://www.nea.org/socialsecurity</vt:lpwstr>
      </vt:variant>
      <vt:variant>
        <vt:lpwstr/>
      </vt:variant>
      <vt:variant>
        <vt:i4>1179673</vt:i4>
      </vt:variant>
      <vt:variant>
        <vt:i4>27</vt:i4>
      </vt:variant>
      <vt:variant>
        <vt:i4>0</vt:i4>
      </vt:variant>
      <vt:variant>
        <vt:i4>5</vt:i4>
      </vt:variant>
      <vt:variant>
        <vt:lpwstr>http://surveys.cde.ca.gov/surveylogin.asp?k=138677921630</vt:lpwstr>
      </vt:variant>
      <vt:variant>
        <vt:lpwstr/>
      </vt:variant>
      <vt:variant>
        <vt:i4>6029327</vt:i4>
      </vt:variant>
      <vt:variant>
        <vt:i4>24</vt:i4>
      </vt:variant>
      <vt:variant>
        <vt:i4>0</vt:i4>
      </vt:variant>
      <vt:variant>
        <vt:i4>5</vt:i4>
      </vt:variant>
      <vt:variant>
        <vt:lpwstr>http://www.cde.ca.gov/ci/rl/cf/elaeldfrmwrkchptrs2014.asp</vt:lpwstr>
      </vt:variant>
      <vt:variant>
        <vt:lpwstr/>
      </vt:variant>
      <vt:variant>
        <vt:i4>2162808</vt:i4>
      </vt:variant>
      <vt:variant>
        <vt:i4>21</vt:i4>
      </vt:variant>
      <vt:variant>
        <vt:i4>0</vt:i4>
      </vt:variant>
      <vt:variant>
        <vt:i4>5</vt:i4>
      </vt:variant>
      <vt:variant>
        <vt:lpwstr>http://www.cta.org/</vt:lpwstr>
      </vt:variant>
      <vt:variant>
        <vt:lpwstr/>
      </vt:variant>
      <vt:variant>
        <vt:i4>2424875</vt:i4>
      </vt:variant>
      <vt:variant>
        <vt:i4>18</vt:i4>
      </vt:variant>
      <vt:variant>
        <vt:i4>0</vt:i4>
      </vt:variant>
      <vt:variant>
        <vt:i4>5</vt:i4>
      </vt:variant>
      <vt:variant>
        <vt:lpwstr>http://www.casponline.org/</vt:lpwstr>
      </vt:variant>
      <vt:variant>
        <vt:lpwstr/>
      </vt:variant>
      <vt:variant>
        <vt:i4>4718664</vt:i4>
      </vt:variant>
      <vt:variant>
        <vt:i4>15</vt:i4>
      </vt:variant>
      <vt:variant>
        <vt:i4>0</vt:i4>
      </vt:variant>
      <vt:variant>
        <vt:i4>5</vt:i4>
      </vt:variant>
      <vt:variant>
        <vt:lpwstr>http://www.ccss.org/</vt:lpwstr>
      </vt:variant>
      <vt:variant>
        <vt:lpwstr/>
      </vt:variant>
      <vt:variant>
        <vt:i4>4980821</vt:i4>
      </vt:variant>
      <vt:variant>
        <vt:i4>12</vt:i4>
      </vt:variant>
      <vt:variant>
        <vt:i4>0</vt:i4>
      </vt:variant>
      <vt:variant>
        <vt:i4>5</vt:i4>
      </vt:variant>
      <vt:variant>
        <vt:lpwstr>http://www.carsplus.org/</vt:lpwstr>
      </vt:variant>
      <vt:variant>
        <vt:lpwstr/>
      </vt:variant>
      <vt:variant>
        <vt:i4>4456454</vt:i4>
      </vt:variant>
      <vt:variant>
        <vt:i4>9</vt:i4>
      </vt:variant>
      <vt:variant>
        <vt:i4>0</vt:i4>
      </vt:variant>
      <vt:variant>
        <vt:i4>5</vt:i4>
      </vt:variant>
      <vt:variant>
        <vt:lpwstr>http://www.cta.org/en/Parents-and-Community/Read-Across-America/California-Reads.aspx</vt:lpwstr>
      </vt:variant>
      <vt:variant>
        <vt:lpwstr/>
      </vt:variant>
      <vt:variant>
        <vt:i4>7536678</vt:i4>
      </vt:variant>
      <vt:variant>
        <vt:i4>6</vt:i4>
      </vt:variant>
      <vt:variant>
        <vt:i4>0</vt:i4>
      </vt:variant>
      <vt:variant>
        <vt:i4>5</vt:i4>
      </vt:variant>
      <vt:variant>
        <vt:lpwstr>http://www.cde.ca.gov/ci/sc/cf/</vt:lpwstr>
      </vt:variant>
      <vt:variant>
        <vt:lpwstr/>
      </vt:variant>
      <vt:variant>
        <vt:i4>3145843</vt:i4>
      </vt:variant>
      <vt:variant>
        <vt:i4>3</vt:i4>
      </vt:variant>
      <vt:variant>
        <vt:i4>0</vt:i4>
      </vt:variant>
      <vt:variant>
        <vt:i4>5</vt:i4>
      </vt:variant>
      <vt:variant>
        <vt:lpwstr>http://www.smarterbalanced.org/</vt:lpwstr>
      </vt:variant>
      <vt:variant>
        <vt:lpwstr/>
      </vt:variant>
      <vt:variant>
        <vt:i4>7077997</vt:i4>
      </vt:variant>
      <vt:variant>
        <vt:i4>0</vt:i4>
      </vt:variant>
      <vt:variant>
        <vt:i4>0</vt:i4>
      </vt:variant>
      <vt:variant>
        <vt:i4>5</vt:i4>
      </vt:variant>
      <vt:variant>
        <vt:lpwstr>http://www.cta.org/Issues-and-Action/Ongoing-Issues/Vergara-Trial1.aspx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Eaton</dc:creator>
  <cp:keywords/>
  <cp:lastModifiedBy>VHS</cp:lastModifiedBy>
  <cp:revision>2</cp:revision>
  <cp:lastPrinted>2013-11-06T22:55:00Z</cp:lastPrinted>
  <dcterms:created xsi:type="dcterms:W3CDTF">2014-01-31T18:40:00Z</dcterms:created>
  <dcterms:modified xsi:type="dcterms:W3CDTF">2014-01-31T18:40:00Z</dcterms:modified>
</cp:coreProperties>
</file>